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D5" w:rsidRPr="000B6AB1" w:rsidRDefault="008110D5" w:rsidP="00E36A35">
      <w:pPr>
        <w:pStyle w:val="Nagwek2"/>
        <w:pBdr>
          <w:bottom w:val="single" w:sz="8" w:space="5" w:color="000000"/>
        </w:pBdr>
        <w:spacing w:before="0" w:beforeAutospacing="0" w:after="199" w:afterAutospacing="0"/>
        <w:ind w:right="-142"/>
        <w:rPr>
          <w:rFonts w:asciiTheme="minorHAnsi" w:hAnsiTheme="minorHAnsi" w:cstheme="minorHAnsi"/>
          <w:sz w:val="32"/>
        </w:rPr>
      </w:pPr>
      <w:r w:rsidRPr="000B6AB1">
        <w:rPr>
          <w:rFonts w:asciiTheme="minorHAnsi" w:hAnsiTheme="minorHAnsi" w:cstheme="minorHAnsi"/>
          <w:sz w:val="32"/>
        </w:rPr>
        <w:t>Pestycydy - zrównoważone stosowanie (zaktualizowane przepisy UE)</w:t>
      </w:r>
    </w:p>
    <w:p w:rsidR="008110D5" w:rsidRPr="00B33B1A" w:rsidRDefault="008110D5" w:rsidP="008110D5">
      <w:pPr>
        <w:pStyle w:val="Nagwek2"/>
        <w:pBdr>
          <w:bottom w:val="single" w:sz="8" w:space="5" w:color="000000"/>
        </w:pBdr>
        <w:spacing w:before="0" w:beforeAutospacing="0" w:after="199" w:afterAutospacing="0"/>
        <w:rPr>
          <w:sz w:val="24"/>
        </w:rPr>
      </w:pPr>
      <w:r w:rsidRPr="00B33B1A">
        <w:rPr>
          <w:sz w:val="24"/>
        </w:rPr>
        <w:t>Informacje o inicjatywie</w:t>
      </w:r>
    </w:p>
    <w:p w:rsidR="00F50F49" w:rsidRPr="00B33B1A" w:rsidRDefault="00F50F49" w:rsidP="00F50F49">
      <w:pPr>
        <w:rPr>
          <w:b/>
          <w:sz w:val="24"/>
        </w:rPr>
      </w:pPr>
      <w:r w:rsidRPr="00B33B1A">
        <w:rPr>
          <w:b/>
          <w:sz w:val="24"/>
        </w:rPr>
        <w:t>Streszczenie</w:t>
      </w:r>
    </w:p>
    <w:p w:rsidR="00F50F49" w:rsidRPr="00B33B1A" w:rsidRDefault="00F50F49" w:rsidP="00F50F49">
      <w:pPr>
        <w:rPr>
          <w:sz w:val="24"/>
        </w:rPr>
      </w:pPr>
      <w:r w:rsidRPr="00B33B1A">
        <w:rPr>
          <w:sz w:val="24"/>
        </w:rPr>
        <w:t>Przepisy UE dotyczące zrównoważonego stosowania pestycydów mają na celu ochronę zdrowia ludzkiego i środowiska przed możliwym ryzykiem i wpływem pestycydów.</w:t>
      </w:r>
    </w:p>
    <w:p w:rsidR="00F50F49" w:rsidRPr="00B33B1A" w:rsidRDefault="00F50F49" w:rsidP="00B33B1A">
      <w:pPr>
        <w:spacing w:after="0"/>
        <w:rPr>
          <w:sz w:val="24"/>
        </w:rPr>
      </w:pPr>
      <w:r w:rsidRPr="00B33B1A">
        <w:rPr>
          <w:sz w:val="24"/>
        </w:rPr>
        <w:t>Przepisy zachęcają do ograniczenia pestycydów poprzez:</w:t>
      </w:r>
    </w:p>
    <w:p w:rsidR="00F50F49" w:rsidRPr="00B33B1A" w:rsidRDefault="00F50F49" w:rsidP="00B33B1A">
      <w:pPr>
        <w:spacing w:after="0"/>
        <w:rPr>
          <w:sz w:val="24"/>
        </w:rPr>
      </w:pPr>
      <w:r w:rsidRPr="00B33B1A">
        <w:rPr>
          <w:sz w:val="24"/>
        </w:rPr>
        <w:t>• zintegrowane zarządzanie szkodnikami</w:t>
      </w:r>
    </w:p>
    <w:p w:rsidR="00F50F49" w:rsidRPr="00B33B1A" w:rsidRDefault="00F50F49" w:rsidP="00B33B1A">
      <w:pPr>
        <w:spacing w:after="0"/>
        <w:rPr>
          <w:sz w:val="24"/>
        </w:rPr>
      </w:pPr>
      <w:r w:rsidRPr="00B33B1A">
        <w:rPr>
          <w:sz w:val="24"/>
        </w:rPr>
        <w:t>• alternatywy dla chemicznych pestycydów.</w:t>
      </w:r>
    </w:p>
    <w:p w:rsidR="008110D5" w:rsidRPr="00B33B1A" w:rsidRDefault="00F50F49" w:rsidP="00F50F49">
      <w:pPr>
        <w:rPr>
          <w:rFonts w:ascii="inherit" w:hAnsi="inherit"/>
          <w:sz w:val="24"/>
        </w:rPr>
      </w:pPr>
      <w:r w:rsidRPr="00B33B1A">
        <w:rPr>
          <w:sz w:val="24"/>
        </w:rPr>
        <w:t xml:space="preserve">Inicjatywa ta ocenia, w jakim stopniu cele te zostały osiągnięte, oraz możliwości dalszego ograniczenia stosowania pestycydów, aby pomóc w osiągnięciu celów strategii </w:t>
      </w:r>
      <w:r w:rsidR="000B6AB1" w:rsidRPr="00B33B1A">
        <w:rPr>
          <w:sz w:val="24"/>
        </w:rPr>
        <w:t xml:space="preserve">„Od gospodarstwa do widelca” (Farm to </w:t>
      </w:r>
      <w:proofErr w:type="spellStart"/>
      <w:r w:rsidR="000B6AB1" w:rsidRPr="00B33B1A">
        <w:rPr>
          <w:sz w:val="24"/>
        </w:rPr>
        <w:t>Fork</w:t>
      </w:r>
      <w:proofErr w:type="spellEnd"/>
      <w:r w:rsidR="000B6AB1" w:rsidRPr="00B33B1A">
        <w:rPr>
          <w:sz w:val="24"/>
        </w:rPr>
        <w:t xml:space="preserve">) </w:t>
      </w:r>
      <w:r w:rsidRPr="00B33B1A">
        <w:rPr>
          <w:sz w:val="24"/>
        </w:rPr>
        <w:t xml:space="preserve">oraz </w:t>
      </w:r>
      <w:r w:rsidR="000B6AB1" w:rsidRPr="00B33B1A">
        <w:rPr>
          <w:sz w:val="24"/>
        </w:rPr>
        <w:t>E</w:t>
      </w:r>
      <w:r w:rsidRPr="00B33B1A">
        <w:rPr>
          <w:sz w:val="24"/>
        </w:rPr>
        <w:t xml:space="preserve">uropejskiego </w:t>
      </w:r>
      <w:r w:rsidR="000B6AB1" w:rsidRPr="00B33B1A">
        <w:rPr>
          <w:sz w:val="24"/>
        </w:rPr>
        <w:t>Z</w:t>
      </w:r>
      <w:r w:rsidRPr="00B33B1A">
        <w:rPr>
          <w:sz w:val="24"/>
        </w:rPr>
        <w:t xml:space="preserve">ielonego </w:t>
      </w:r>
      <w:r w:rsidR="000B6AB1" w:rsidRPr="00B33B1A">
        <w:rPr>
          <w:sz w:val="24"/>
        </w:rPr>
        <w:t>Ł</w:t>
      </w:r>
      <w:r w:rsidRPr="00B33B1A">
        <w:rPr>
          <w:sz w:val="24"/>
        </w:rPr>
        <w:t>adu (</w:t>
      </w:r>
      <w:proofErr w:type="spellStart"/>
      <w:r w:rsidR="008110D5" w:rsidRPr="00B33B1A">
        <w:rPr>
          <w:rFonts w:ascii="inherit" w:hAnsi="inherit"/>
          <w:sz w:val="24"/>
        </w:rPr>
        <w:t>European</w:t>
      </w:r>
      <w:proofErr w:type="spellEnd"/>
      <w:r w:rsidR="008110D5" w:rsidRPr="00B33B1A">
        <w:rPr>
          <w:rFonts w:ascii="inherit" w:hAnsi="inherit"/>
          <w:sz w:val="24"/>
        </w:rPr>
        <w:t xml:space="preserve"> Green Deal</w:t>
      </w:r>
      <w:r w:rsidRPr="00B33B1A">
        <w:rPr>
          <w:rFonts w:ascii="inherit" w:hAnsi="inherit"/>
          <w:sz w:val="24"/>
        </w:rPr>
        <w:t>)</w:t>
      </w:r>
      <w:r w:rsidR="008110D5" w:rsidRPr="00B33B1A">
        <w:rPr>
          <w:rFonts w:ascii="inherit" w:hAnsi="inherit"/>
          <w:sz w:val="24"/>
        </w:rPr>
        <w:t>.</w:t>
      </w:r>
    </w:p>
    <w:p w:rsidR="008110D5" w:rsidRPr="00B33B1A" w:rsidRDefault="008110D5" w:rsidP="00B33B1A">
      <w:pPr>
        <w:spacing w:after="0"/>
        <w:rPr>
          <w:rFonts w:cstheme="minorHAnsi"/>
          <w:sz w:val="24"/>
        </w:rPr>
      </w:pPr>
      <w:r w:rsidRPr="00B33B1A">
        <w:rPr>
          <w:rFonts w:cstheme="minorHAnsi"/>
          <w:b/>
          <w:bCs/>
          <w:sz w:val="24"/>
        </w:rPr>
        <w:t>Temat</w:t>
      </w:r>
      <w:r w:rsidR="000B6AB1" w:rsidRPr="00B33B1A">
        <w:rPr>
          <w:rFonts w:cstheme="minorHAnsi"/>
          <w:b/>
          <w:bCs/>
          <w:sz w:val="24"/>
        </w:rPr>
        <w:t xml:space="preserve">: </w:t>
      </w:r>
      <w:r w:rsidRPr="00B33B1A">
        <w:rPr>
          <w:rFonts w:cstheme="minorHAnsi"/>
          <w:sz w:val="24"/>
        </w:rPr>
        <w:t xml:space="preserve">Bezpieczeństwo żywności </w:t>
      </w:r>
    </w:p>
    <w:p w:rsidR="008110D5" w:rsidRPr="00B33B1A" w:rsidRDefault="008110D5" w:rsidP="00B33B1A">
      <w:pPr>
        <w:spacing w:after="0"/>
        <w:rPr>
          <w:rFonts w:cstheme="minorHAnsi"/>
          <w:sz w:val="24"/>
        </w:rPr>
      </w:pPr>
      <w:r w:rsidRPr="00B33B1A">
        <w:rPr>
          <w:rFonts w:cstheme="minorHAnsi"/>
          <w:b/>
          <w:bCs/>
          <w:sz w:val="24"/>
        </w:rPr>
        <w:t>Rodzaj aktu prawnego</w:t>
      </w:r>
      <w:r w:rsidR="000B6AB1" w:rsidRPr="00B33B1A">
        <w:rPr>
          <w:rFonts w:cstheme="minorHAnsi"/>
          <w:b/>
          <w:bCs/>
          <w:sz w:val="24"/>
        </w:rPr>
        <w:t xml:space="preserve">: </w:t>
      </w:r>
      <w:r w:rsidRPr="00B33B1A">
        <w:rPr>
          <w:rFonts w:cstheme="minorHAnsi"/>
          <w:sz w:val="24"/>
        </w:rPr>
        <w:t>Akt</w:t>
      </w:r>
    </w:p>
    <w:p w:rsidR="008110D5" w:rsidRPr="00B33B1A" w:rsidRDefault="008110D5" w:rsidP="00B33B1A">
      <w:pPr>
        <w:spacing w:after="0"/>
        <w:rPr>
          <w:rFonts w:cstheme="minorHAnsi"/>
          <w:sz w:val="24"/>
        </w:rPr>
      </w:pPr>
      <w:r w:rsidRPr="00B33B1A">
        <w:rPr>
          <w:rFonts w:cstheme="minorHAnsi"/>
          <w:b/>
          <w:bCs/>
          <w:sz w:val="24"/>
        </w:rPr>
        <w:t>Kategoria</w:t>
      </w:r>
      <w:r w:rsidR="000B6AB1" w:rsidRPr="00B33B1A">
        <w:rPr>
          <w:rFonts w:cstheme="minorHAnsi"/>
          <w:b/>
          <w:bCs/>
          <w:sz w:val="24"/>
        </w:rPr>
        <w:t xml:space="preserve">: </w:t>
      </w:r>
      <w:r w:rsidRPr="00B33B1A">
        <w:rPr>
          <w:rFonts w:cstheme="minorHAnsi"/>
          <w:sz w:val="24"/>
        </w:rPr>
        <w:t xml:space="preserve">Program sprawności i wydajności regulacyjnej </w:t>
      </w:r>
      <w:r w:rsidR="00F50F49" w:rsidRPr="00B33B1A">
        <w:rPr>
          <w:rFonts w:cstheme="minorHAnsi"/>
          <w:sz w:val="24"/>
        </w:rPr>
        <w:t xml:space="preserve"> </w:t>
      </w:r>
      <w:r w:rsidRPr="00B33B1A">
        <w:rPr>
          <w:rFonts w:cstheme="minorHAnsi"/>
          <w:sz w:val="24"/>
        </w:rPr>
        <w:t xml:space="preserve">(REFIT) </w:t>
      </w:r>
    </w:p>
    <w:p w:rsidR="008110D5" w:rsidRPr="00B33B1A" w:rsidRDefault="008110D5" w:rsidP="008110D5">
      <w:pPr>
        <w:pStyle w:val="Nagwek2"/>
        <w:pBdr>
          <w:bottom w:val="single" w:sz="8" w:space="5" w:color="000000"/>
        </w:pBdr>
        <w:spacing w:before="0" w:beforeAutospacing="0" w:after="199" w:afterAutospacing="0"/>
        <w:rPr>
          <w:rFonts w:ascii="Arial" w:hAnsi="Arial" w:cs="Arial"/>
          <w:sz w:val="28"/>
        </w:rPr>
      </w:pPr>
      <w:r w:rsidRPr="00B33B1A">
        <w:rPr>
          <w:rFonts w:ascii="Arial" w:hAnsi="Arial" w:cs="Arial"/>
          <w:sz w:val="28"/>
        </w:rPr>
        <w:t xml:space="preserve">Plany działania </w:t>
      </w:r>
    </w:p>
    <w:p w:rsidR="008110D5" w:rsidRPr="00B33B1A" w:rsidRDefault="008110D5" w:rsidP="008110D5">
      <w:pPr>
        <w:rPr>
          <w:rFonts w:ascii="inherit" w:hAnsi="inherit" w:cs="Times New Roman"/>
          <w:b/>
          <w:sz w:val="26"/>
        </w:rPr>
      </w:pPr>
      <w:r w:rsidRPr="00B33B1A">
        <w:rPr>
          <w:rStyle w:val="label"/>
          <w:rFonts w:ascii="Arial" w:hAnsi="Arial" w:cs="Arial"/>
          <w:b/>
          <w:caps/>
          <w:color w:val="404040"/>
          <w:sz w:val="28"/>
          <w:bdr w:val="none" w:sz="0" w:space="0" w:color="auto" w:frame="1"/>
          <w:shd w:val="clear" w:color="auto" w:fill="FFD617"/>
        </w:rPr>
        <w:t>Nadsyłanie opinii: Otwarte</w:t>
      </w:r>
    </w:p>
    <w:p w:rsidR="008110D5" w:rsidRDefault="008110D5" w:rsidP="008110D5">
      <w:pPr>
        <w:rPr>
          <w:rFonts w:ascii="inherit" w:hAnsi="inherit"/>
        </w:rPr>
      </w:pPr>
      <w:r w:rsidRPr="00B33B1A">
        <w:rPr>
          <w:rFonts w:cstheme="minorHAnsi"/>
          <w:b/>
          <w:bCs/>
          <w:sz w:val="28"/>
        </w:rPr>
        <w:t>Typ</w:t>
      </w:r>
      <w:r w:rsidR="000B6AB1" w:rsidRPr="00B33B1A">
        <w:rPr>
          <w:rFonts w:cstheme="minorHAnsi"/>
          <w:b/>
          <w:bCs/>
          <w:sz w:val="28"/>
        </w:rPr>
        <w:t xml:space="preserve">: </w:t>
      </w:r>
      <w:r w:rsidRPr="00B33B1A">
        <w:rPr>
          <w:rFonts w:cstheme="minorHAnsi"/>
          <w:sz w:val="28"/>
        </w:rPr>
        <w:t>Wstępna ocena skutków</w:t>
      </w:r>
      <w:r w:rsidR="00B33B1A">
        <w:rPr>
          <w:rFonts w:cstheme="minorHAnsi"/>
          <w:sz w:val="28"/>
        </w:rPr>
        <w:t xml:space="preserve">      </w:t>
      </w:r>
      <w:hyperlink r:id="rId5" w:anchor="how-their-scope-is-defined" w:history="1">
        <w:r>
          <w:rPr>
            <w:rStyle w:val="Hipercze"/>
            <w:rFonts w:ascii="inherit" w:hAnsi="inherit"/>
            <w:color w:val="004494"/>
            <w:bdr w:val="none" w:sz="0" w:space="0" w:color="auto" w:frame="1"/>
          </w:rPr>
          <w:t>Informacje na temat pl</w:t>
        </w:r>
        <w:r>
          <w:rPr>
            <w:rStyle w:val="Hipercze"/>
            <w:rFonts w:ascii="inherit" w:hAnsi="inherit"/>
            <w:color w:val="004494"/>
            <w:bdr w:val="none" w:sz="0" w:space="0" w:color="auto" w:frame="1"/>
          </w:rPr>
          <w:t>a</w:t>
        </w:r>
        <w:r>
          <w:rPr>
            <w:rStyle w:val="Hipercze"/>
            <w:rFonts w:ascii="inherit" w:hAnsi="inherit"/>
            <w:color w:val="004494"/>
            <w:bdr w:val="none" w:sz="0" w:space="0" w:color="auto" w:frame="1"/>
          </w:rPr>
          <w:t>nów działania</w:t>
        </w:r>
      </w:hyperlink>
    </w:p>
    <w:p w:rsidR="008110D5" w:rsidRDefault="008110D5" w:rsidP="008110D5">
      <w:pPr>
        <w:rPr>
          <w:rFonts w:ascii="Arial" w:hAnsi="Arial" w:cs="Arial"/>
          <w:b/>
          <w:bCs/>
        </w:rPr>
      </w:pPr>
      <w:r>
        <w:rPr>
          <w:rFonts w:ascii="Arial" w:hAnsi="Arial" w:cs="Arial"/>
          <w:b/>
          <w:bCs/>
        </w:rPr>
        <w:t>Okres nadsyłania opinii</w:t>
      </w:r>
    </w:p>
    <w:p w:rsidR="008110D5" w:rsidRPr="00F50F49" w:rsidRDefault="008110D5" w:rsidP="008110D5">
      <w:pPr>
        <w:rPr>
          <w:rFonts w:ascii="Times New Roman" w:hAnsi="Times New Roman" w:cs="Times New Roman"/>
          <w:b/>
          <w:sz w:val="28"/>
        </w:rPr>
      </w:pPr>
      <w:r w:rsidRPr="000B6AB1">
        <w:rPr>
          <w:rStyle w:val="ecl-u-type-capitalize"/>
          <w:rFonts w:ascii="Times New Roman" w:hAnsi="Times New Roman" w:cs="Times New Roman"/>
          <w:b/>
          <w:sz w:val="28"/>
          <w:highlight w:val="yellow"/>
          <w:bdr w:val="none" w:sz="0" w:space="0" w:color="auto" w:frame="1"/>
        </w:rPr>
        <w:t>29 maja 2020 - 07 sierpnia 2020</w:t>
      </w:r>
      <w:r w:rsidRPr="00F50F49">
        <w:rPr>
          <w:rFonts w:ascii="Times New Roman" w:hAnsi="Times New Roman" w:cs="Times New Roman"/>
          <w:b/>
          <w:sz w:val="28"/>
        </w:rPr>
        <w:t xml:space="preserve">  (</w:t>
      </w:r>
      <w:r w:rsidRPr="00F50F49">
        <w:rPr>
          <w:rFonts w:ascii="Times New Roman" w:hAnsi="Times New Roman" w:cs="Times New Roman"/>
          <w:b/>
          <w:sz w:val="28"/>
          <w:bdr w:val="none" w:sz="0" w:space="0" w:color="auto" w:frame="1"/>
        </w:rPr>
        <w:t>północ czasu brukselskiego</w:t>
      </w:r>
      <w:r w:rsidRPr="00F50F49">
        <w:rPr>
          <w:rFonts w:ascii="Times New Roman" w:hAnsi="Times New Roman" w:cs="Times New Roman"/>
          <w:b/>
          <w:sz w:val="28"/>
        </w:rPr>
        <w:t xml:space="preserve">) </w:t>
      </w:r>
    </w:p>
    <w:p w:rsidR="008110D5" w:rsidRPr="00B33B1A" w:rsidRDefault="008110D5" w:rsidP="00B33B1A">
      <w:pPr>
        <w:pStyle w:val="Nagwek3"/>
        <w:spacing w:before="0" w:beforeAutospacing="0" w:after="0" w:afterAutospacing="0"/>
        <w:rPr>
          <w:rFonts w:ascii="Arial" w:hAnsi="Arial" w:cs="Arial"/>
          <w:sz w:val="24"/>
        </w:rPr>
      </w:pPr>
      <w:r w:rsidRPr="00B33B1A">
        <w:rPr>
          <w:rFonts w:ascii="Arial" w:hAnsi="Arial" w:cs="Arial"/>
          <w:sz w:val="24"/>
        </w:rPr>
        <w:t>Komisja chciałaby poznać Twoje zdanie</w:t>
      </w:r>
    </w:p>
    <w:p w:rsidR="008110D5" w:rsidRPr="000B6AB1" w:rsidRDefault="008110D5" w:rsidP="008110D5">
      <w:pPr>
        <w:rPr>
          <w:rFonts w:cstheme="minorHAnsi"/>
        </w:rPr>
      </w:pPr>
      <w:r w:rsidRPr="000B6AB1">
        <w:rPr>
          <w:rFonts w:cstheme="minorHAnsi"/>
        </w:rPr>
        <w:t xml:space="preserve">Opinie na temat planów działania można przesyłać przez </w:t>
      </w:r>
      <w:r w:rsidRPr="000B6AB1">
        <w:rPr>
          <w:rStyle w:val="Pogrubienie"/>
          <w:rFonts w:cstheme="minorHAnsi"/>
          <w:bdr w:val="none" w:sz="0" w:space="0" w:color="auto" w:frame="1"/>
        </w:rPr>
        <w:t>4 tygodnie</w:t>
      </w:r>
      <w:r w:rsidR="00F50F49" w:rsidRPr="000B6AB1">
        <w:rPr>
          <w:rFonts w:cstheme="minorHAnsi"/>
        </w:rPr>
        <w:t>. Na</w:t>
      </w:r>
      <w:r w:rsidR="000B6AB1" w:rsidRPr="000B6AB1">
        <w:rPr>
          <w:rFonts w:cstheme="minorHAnsi"/>
        </w:rPr>
        <w:t>d</w:t>
      </w:r>
      <w:r w:rsidR="00F50F49" w:rsidRPr="000B6AB1">
        <w:rPr>
          <w:rFonts w:cstheme="minorHAnsi"/>
        </w:rPr>
        <w:t>esłane uwagi posłużą do o</w:t>
      </w:r>
      <w:r w:rsidRPr="000B6AB1">
        <w:rPr>
          <w:rFonts w:cstheme="minorHAnsi"/>
        </w:rPr>
        <w:t xml:space="preserve">pracowania inicjatywy. Komisja podsumuje otrzymane opinie w sprawozdaniu z konsultacji i wyjaśni, z jakich powodów zdecydowała się uwzględnić niektóre propozycje, a innych nie mogła wziąć pod uwagę. Nadesłane odpowiedzi zostaną opublikowane na tej stronie internetowej, dlatego muszą one spełniać określone warunki </w:t>
      </w:r>
      <w:hyperlink r:id="rId6" w:history="1">
        <w:r w:rsidRPr="000B6AB1">
          <w:rPr>
            <w:rStyle w:val="Hipercze"/>
            <w:rFonts w:cstheme="minorHAnsi"/>
            <w:color w:val="004494"/>
            <w:bdr w:val="none" w:sz="0" w:space="0" w:color="auto" w:frame="1"/>
          </w:rPr>
          <w:t>związane z publikowanie</w:t>
        </w:r>
        <w:r w:rsidRPr="000B6AB1">
          <w:rPr>
            <w:rStyle w:val="Hipercze"/>
            <w:rFonts w:cstheme="minorHAnsi"/>
            <w:color w:val="004494"/>
            <w:bdr w:val="none" w:sz="0" w:space="0" w:color="auto" w:frame="1"/>
          </w:rPr>
          <w:t>m</w:t>
        </w:r>
        <w:r w:rsidRPr="000B6AB1">
          <w:rPr>
            <w:rStyle w:val="Hipercze"/>
            <w:rFonts w:cstheme="minorHAnsi"/>
            <w:color w:val="004494"/>
            <w:bdr w:val="none" w:sz="0" w:space="0" w:color="auto" w:frame="1"/>
          </w:rPr>
          <w:t xml:space="preserve"> </w:t>
        </w:r>
        <w:r w:rsidRPr="000B6AB1">
          <w:rPr>
            <w:rStyle w:val="Hipercze"/>
            <w:rFonts w:cstheme="minorHAnsi"/>
            <w:color w:val="004494"/>
            <w:bdr w:val="none" w:sz="0" w:space="0" w:color="auto" w:frame="1"/>
          </w:rPr>
          <w:t>o</w:t>
        </w:r>
        <w:r w:rsidRPr="000B6AB1">
          <w:rPr>
            <w:rStyle w:val="Hipercze"/>
            <w:rFonts w:cstheme="minorHAnsi"/>
            <w:color w:val="004494"/>
            <w:bdr w:val="none" w:sz="0" w:space="0" w:color="auto" w:frame="1"/>
          </w:rPr>
          <w:t>dpowiedzi</w:t>
        </w:r>
      </w:hyperlink>
      <w:r w:rsidRPr="000B6AB1">
        <w:rPr>
          <w:rFonts w:cstheme="minorHAnsi"/>
        </w:rPr>
        <w:t>.</w:t>
      </w:r>
    </w:p>
    <w:p w:rsidR="000B6AB1" w:rsidRDefault="000B6AB1" w:rsidP="008110D5">
      <w:pPr>
        <w:rPr>
          <w:rStyle w:val="ecl-buttonlabel"/>
          <w:rFonts w:ascii="inherit" w:hAnsi="inherit"/>
          <w:bdr w:val="none" w:sz="0" w:space="0" w:color="auto" w:frame="1"/>
        </w:rPr>
      </w:pPr>
      <w:hyperlink r:id="rId7" w:history="1">
        <w:r w:rsidRPr="00702C38">
          <w:rPr>
            <w:rStyle w:val="Hipercze"/>
            <w:rFonts w:ascii="inherit" w:hAnsi="inherit"/>
            <w:bdr w:val="none" w:sz="0" w:space="0" w:color="auto" w:frame="1"/>
          </w:rPr>
          <w:t>https://ec.europa.eu/info/law/better-regulation/rules-feedback-and-sug</w:t>
        </w:r>
        <w:r w:rsidRPr="00702C38">
          <w:rPr>
            <w:rStyle w:val="Hipercze"/>
            <w:rFonts w:ascii="inherit" w:hAnsi="inherit"/>
            <w:bdr w:val="none" w:sz="0" w:space="0" w:color="auto" w:frame="1"/>
          </w:rPr>
          <w:t>g</w:t>
        </w:r>
        <w:r w:rsidRPr="00702C38">
          <w:rPr>
            <w:rStyle w:val="Hipercze"/>
            <w:rFonts w:ascii="inherit" w:hAnsi="inherit"/>
            <w:bdr w:val="none" w:sz="0" w:space="0" w:color="auto" w:frame="1"/>
          </w:rPr>
          <w:t>estions</w:t>
        </w:r>
      </w:hyperlink>
    </w:p>
    <w:p w:rsidR="008110D5" w:rsidRPr="000B6AB1" w:rsidRDefault="008110D5" w:rsidP="008110D5">
      <w:pPr>
        <w:rPr>
          <w:rFonts w:cstheme="minorHAnsi"/>
          <w:sz w:val="28"/>
        </w:rPr>
      </w:pPr>
      <w:r w:rsidRPr="000B6AB1">
        <w:rPr>
          <w:rStyle w:val="ecl-buttonlabel"/>
          <w:rFonts w:cstheme="minorHAnsi"/>
          <w:sz w:val="28"/>
          <w:highlight w:val="yellow"/>
          <w:bdr w:val="none" w:sz="0" w:space="0" w:color="auto" w:frame="1"/>
        </w:rPr>
        <w:t xml:space="preserve">Zamieść opinię </w:t>
      </w:r>
      <w:r w:rsidR="000B6AB1">
        <w:rPr>
          <w:rStyle w:val="ecl-buttonlabel"/>
          <w:rFonts w:cstheme="minorHAnsi"/>
          <w:sz w:val="28"/>
          <w:bdr w:val="none" w:sz="0" w:space="0" w:color="auto" w:frame="1"/>
        </w:rPr>
        <w:t>&gt;&gt;&gt;</w:t>
      </w:r>
      <w:r w:rsidR="00F50F49" w:rsidRPr="000B6AB1">
        <w:rPr>
          <w:rStyle w:val="ecl-buttonlabel"/>
          <w:rFonts w:cstheme="minorHAnsi"/>
          <w:sz w:val="28"/>
          <w:bdr w:val="none" w:sz="0" w:space="0" w:color="auto" w:frame="1"/>
        </w:rPr>
        <w:t xml:space="preserve"> </w:t>
      </w:r>
      <w:hyperlink r:id="rId8" w:history="1">
        <w:r w:rsidR="00F50F49" w:rsidRPr="000B6AB1">
          <w:rPr>
            <w:rStyle w:val="Hipercze"/>
            <w:rFonts w:cstheme="minorHAnsi"/>
            <w:sz w:val="28"/>
            <w:bdr w:val="none" w:sz="0" w:space="0" w:color="auto" w:frame="1"/>
          </w:rPr>
          <w:t>Zamieś</w:t>
        </w:r>
        <w:r w:rsidR="00F50F49" w:rsidRPr="000B6AB1">
          <w:rPr>
            <w:rStyle w:val="Hipercze"/>
            <w:rFonts w:cstheme="minorHAnsi"/>
            <w:sz w:val="28"/>
            <w:bdr w:val="none" w:sz="0" w:space="0" w:color="auto" w:frame="1"/>
          </w:rPr>
          <w:t>ć</w:t>
        </w:r>
        <w:r w:rsidR="00F50F49" w:rsidRPr="000B6AB1">
          <w:rPr>
            <w:rStyle w:val="Hipercze"/>
            <w:rFonts w:cstheme="minorHAnsi"/>
            <w:sz w:val="28"/>
            <w:bdr w:val="none" w:sz="0" w:space="0" w:color="auto" w:frame="1"/>
          </w:rPr>
          <w:t xml:space="preserve"> opinię</w:t>
        </w:r>
      </w:hyperlink>
    </w:p>
    <w:p w:rsidR="008110D5" w:rsidRDefault="008110D5" w:rsidP="008110D5">
      <w:pPr>
        <w:shd w:val="clear" w:color="auto" w:fill="F5F5F5"/>
        <w:rPr>
          <w:rFonts w:ascii="Arial" w:hAnsi="Arial" w:cs="Arial"/>
          <w:color w:val="404040"/>
        </w:rPr>
      </w:pPr>
      <w:r>
        <w:rPr>
          <w:rFonts w:ascii="Arial" w:hAnsi="Arial" w:cs="Arial"/>
          <w:b/>
          <w:bCs/>
          <w:color w:val="404040"/>
        </w:rPr>
        <w:t>Wstępna ocena skutków - Ares(2020)2804518</w:t>
      </w:r>
      <w:r w:rsidR="00F50F49">
        <w:rPr>
          <w:rFonts w:ascii="Arial" w:hAnsi="Arial" w:cs="Arial"/>
          <w:b/>
          <w:bCs/>
          <w:color w:val="404040"/>
        </w:rPr>
        <w:t xml:space="preserve"> / </w:t>
      </w:r>
      <w:r>
        <w:rPr>
          <w:rFonts w:ascii="Arial" w:hAnsi="Arial" w:cs="Arial"/>
          <w:b/>
          <w:bCs/>
          <w:color w:val="404040"/>
        </w:rPr>
        <w:t>angielski</w:t>
      </w:r>
      <w:r w:rsidR="00F50F49">
        <w:rPr>
          <w:rFonts w:ascii="Arial" w:hAnsi="Arial" w:cs="Arial"/>
          <w:b/>
          <w:bCs/>
          <w:color w:val="404040"/>
        </w:rPr>
        <w:t xml:space="preserve"> / </w:t>
      </w:r>
      <w:r>
        <w:rPr>
          <w:rFonts w:ascii="Arial" w:hAnsi="Arial" w:cs="Arial"/>
          <w:color w:val="404040"/>
        </w:rPr>
        <w:t>(337.4 KB - PDF - 5 str.)</w:t>
      </w:r>
    </w:p>
    <w:p w:rsidR="008110D5" w:rsidRPr="00E36A35" w:rsidRDefault="008110D5" w:rsidP="008110D5">
      <w:pPr>
        <w:shd w:val="clear" w:color="auto" w:fill="F5F5F5"/>
        <w:rPr>
          <w:rFonts w:cstheme="minorHAnsi"/>
          <w:sz w:val="28"/>
        </w:rPr>
      </w:pPr>
      <w:hyperlink w:history="1">
        <w:r w:rsidR="00E36A35" w:rsidRPr="00E36A35">
          <w:rPr>
            <w:rStyle w:val="ecl-linklabel"/>
            <w:rFonts w:cstheme="minorHAnsi"/>
            <w:b/>
            <w:bCs/>
            <w:sz w:val="28"/>
            <w:highlight w:val="yellow"/>
            <w:bdr w:val="none" w:sz="0" w:space="0" w:color="auto" w:frame="1"/>
          </w:rPr>
          <w:t>W</w:t>
        </w:r>
      </w:hyperlink>
      <w:r w:rsidR="00F50F49" w:rsidRPr="00E36A35">
        <w:rPr>
          <w:rFonts w:cstheme="minorHAnsi"/>
          <w:sz w:val="28"/>
          <w:highlight w:val="yellow"/>
        </w:rPr>
        <w:t xml:space="preserve"> załączeniu tłumaczenie robocze na język  polski</w:t>
      </w:r>
      <w:r w:rsidR="00E36A35" w:rsidRPr="00E36A35">
        <w:rPr>
          <w:rFonts w:cstheme="minorHAnsi"/>
          <w:sz w:val="28"/>
          <w:highlight w:val="yellow"/>
        </w:rPr>
        <w:t xml:space="preserve"> dokumentu przedstawionego do opiniowania</w:t>
      </w:r>
    </w:p>
    <w:p w:rsidR="008110D5" w:rsidRDefault="008110D5" w:rsidP="008110D5">
      <w:pPr>
        <w:pStyle w:val="Nagwek2"/>
        <w:pBdr>
          <w:bottom w:val="single" w:sz="8" w:space="5" w:color="000000"/>
        </w:pBdr>
        <w:spacing w:after="199" w:afterAutospacing="0"/>
        <w:rPr>
          <w:rFonts w:ascii="Arial" w:hAnsi="Arial" w:cs="Arial"/>
        </w:rPr>
      </w:pPr>
      <w:r>
        <w:rPr>
          <w:rFonts w:ascii="Arial" w:hAnsi="Arial" w:cs="Arial"/>
        </w:rPr>
        <w:lastRenderedPageBreak/>
        <w:t>Opinie (32)</w:t>
      </w:r>
    </w:p>
    <w:p w:rsidR="008110D5" w:rsidRDefault="008110D5" w:rsidP="008110D5">
      <w:pPr>
        <w:rPr>
          <w:rFonts w:ascii="inherit" w:hAnsi="inherit"/>
        </w:rPr>
      </w:pPr>
      <w:hyperlink r:id="rId9" w:history="1">
        <w:r>
          <w:rPr>
            <w:rStyle w:val="Hipercze"/>
            <w:rFonts w:ascii="inherit" w:hAnsi="inherit"/>
            <w:b/>
            <w:bCs/>
            <w:caps/>
            <w:color w:val="004494"/>
            <w:bdr w:val="single" w:sz="4" w:space="0" w:color="auto" w:frame="1"/>
          </w:rPr>
          <w:t>Wszystkie opini</w:t>
        </w:r>
        <w:r>
          <w:rPr>
            <w:rStyle w:val="Hipercze"/>
            <w:rFonts w:ascii="inherit" w:hAnsi="inherit"/>
            <w:b/>
            <w:bCs/>
            <w:caps/>
            <w:color w:val="004494"/>
            <w:bdr w:val="single" w:sz="4" w:space="0" w:color="auto" w:frame="1"/>
          </w:rPr>
          <w:t>e</w:t>
        </w:r>
        <w:r>
          <w:rPr>
            <w:rStyle w:val="Hipercze"/>
            <w:rFonts w:ascii="inherit" w:hAnsi="inherit"/>
            <w:b/>
            <w:bCs/>
            <w:caps/>
            <w:color w:val="004494"/>
            <w:bdr w:val="single" w:sz="4" w:space="0" w:color="auto" w:frame="1"/>
          </w:rPr>
          <w:t xml:space="preserve"> (32) &gt; </w:t>
        </w:r>
      </w:hyperlink>
    </w:p>
    <w:p w:rsidR="00F50F49" w:rsidRPr="000B6AB1" w:rsidRDefault="00F50F49" w:rsidP="008110D5">
      <w:pPr>
        <w:rPr>
          <w:rFonts w:cstheme="minorHAnsi"/>
          <w:sz w:val="28"/>
        </w:rPr>
      </w:pPr>
      <w:r w:rsidRPr="000B6AB1">
        <w:rPr>
          <w:rFonts w:cstheme="minorHAnsi"/>
          <w:sz w:val="28"/>
          <w:highlight w:val="yellow"/>
        </w:rPr>
        <w:t>NASTĘPNE ETAPY PRACY nad zmianą przepisów:</w:t>
      </w:r>
    </w:p>
    <w:p w:rsidR="008110D5" w:rsidRPr="000B6AB1" w:rsidRDefault="008110D5" w:rsidP="008110D5">
      <w:pPr>
        <w:pStyle w:val="Nagwek2"/>
        <w:pBdr>
          <w:bottom w:val="single" w:sz="8" w:space="5" w:color="000000"/>
        </w:pBdr>
        <w:spacing w:before="0" w:beforeAutospacing="0" w:after="199" w:afterAutospacing="0"/>
        <w:rPr>
          <w:rFonts w:asciiTheme="minorHAnsi" w:hAnsiTheme="minorHAnsi" w:cstheme="minorHAnsi"/>
          <w:sz w:val="24"/>
          <w:szCs w:val="24"/>
        </w:rPr>
      </w:pPr>
      <w:r w:rsidRPr="000B6AB1">
        <w:rPr>
          <w:rFonts w:asciiTheme="minorHAnsi" w:hAnsiTheme="minorHAnsi" w:cstheme="minorHAnsi"/>
          <w:sz w:val="24"/>
          <w:szCs w:val="24"/>
        </w:rPr>
        <w:t xml:space="preserve">Konsultacje publiczne </w:t>
      </w:r>
    </w:p>
    <w:p w:rsidR="008110D5" w:rsidRPr="000B6AB1" w:rsidRDefault="008110D5" w:rsidP="008110D5">
      <w:pPr>
        <w:rPr>
          <w:rFonts w:cstheme="minorHAnsi"/>
          <w:sz w:val="24"/>
          <w:szCs w:val="24"/>
        </w:rPr>
      </w:pPr>
      <w:r w:rsidRPr="000B6AB1">
        <w:rPr>
          <w:rStyle w:val="label"/>
          <w:rFonts w:cstheme="minorHAnsi"/>
          <w:caps/>
          <w:color w:val="404040"/>
          <w:sz w:val="24"/>
          <w:szCs w:val="24"/>
          <w:bdr w:val="none" w:sz="0" w:space="0" w:color="auto" w:frame="1"/>
          <w:shd w:val="clear" w:color="auto" w:fill="FFF4BB"/>
        </w:rPr>
        <w:t xml:space="preserve">Nadsyłanie opinii: Planowane </w:t>
      </w:r>
    </w:p>
    <w:p w:rsidR="008110D5" w:rsidRPr="000B6AB1" w:rsidRDefault="008110D5" w:rsidP="008110D5">
      <w:pPr>
        <w:rPr>
          <w:rFonts w:cstheme="minorHAnsi"/>
          <w:sz w:val="24"/>
          <w:szCs w:val="24"/>
        </w:rPr>
      </w:pPr>
      <w:r w:rsidRPr="000B6AB1">
        <w:rPr>
          <w:rFonts w:cstheme="minorHAnsi"/>
          <w:b/>
          <w:bCs/>
          <w:sz w:val="24"/>
          <w:szCs w:val="24"/>
        </w:rPr>
        <w:t>Planowane na:</w:t>
      </w:r>
      <w:r w:rsidR="00F50F49" w:rsidRPr="000B6AB1">
        <w:rPr>
          <w:rFonts w:cstheme="minorHAnsi"/>
          <w:b/>
          <w:bCs/>
          <w:sz w:val="24"/>
          <w:szCs w:val="24"/>
        </w:rPr>
        <w:t xml:space="preserve">        </w:t>
      </w:r>
      <w:r w:rsidRPr="000B6AB1">
        <w:rPr>
          <w:rFonts w:cstheme="minorHAnsi"/>
          <w:sz w:val="24"/>
          <w:szCs w:val="24"/>
        </w:rPr>
        <w:t>Czwarty kwartał 2020</w:t>
      </w:r>
    </w:p>
    <w:p w:rsidR="008110D5" w:rsidRPr="000B6AB1" w:rsidRDefault="008110D5" w:rsidP="008110D5">
      <w:pPr>
        <w:pStyle w:val="Nagwek2"/>
        <w:pBdr>
          <w:bottom w:val="single" w:sz="8" w:space="5" w:color="000000"/>
        </w:pBdr>
        <w:spacing w:before="0" w:beforeAutospacing="0" w:after="199" w:afterAutospacing="0"/>
        <w:rPr>
          <w:rFonts w:asciiTheme="minorHAnsi" w:hAnsiTheme="minorHAnsi" w:cstheme="minorHAnsi"/>
          <w:sz w:val="24"/>
          <w:szCs w:val="24"/>
        </w:rPr>
      </w:pPr>
      <w:r w:rsidRPr="000B6AB1">
        <w:rPr>
          <w:rFonts w:asciiTheme="minorHAnsi" w:hAnsiTheme="minorHAnsi" w:cstheme="minorHAnsi"/>
          <w:sz w:val="24"/>
          <w:szCs w:val="24"/>
        </w:rPr>
        <w:t xml:space="preserve">Przyjęcie przez Komisję </w:t>
      </w:r>
    </w:p>
    <w:p w:rsidR="008110D5" w:rsidRPr="000B6AB1" w:rsidRDefault="008110D5" w:rsidP="008110D5">
      <w:pPr>
        <w:rPr>
          <w:rFonts w:cstheme="minorHAnsi"/>
          <w:sz w:val="24"/>
          <w:szCs w:val="24"/>
        </w:rPr>
      </w:pPr>
      <w:r w:rsidRPr="000B6AB1">
        <w:rPr>
          <w:rFonts w:cstheme="minorHAnsi"/>
          <w:b/>
          <w:bCs/>
          <w:sz w:val="24"/>
          <w:szCs w:val="24"/>
        </w:rPr>
        <w:t>Typ</w:t>
      </w:r>
      <w:r w:rsidR="00F50F49" w:rsidRPr="000B6AB1">
        <w:rPr>
          <w:rFonts w:cstheme="minorHAnsi"/>
          <w:b/>
          <w:bCs/>
          <w:sz w:val="24"/>
          <w:szCs w:val="24"/>
        </w:rPr>
        <w:t xml:space="preserve">      </w:t>
      </w:r>
      <w:r w:rsidRPr="000B6AB1">
        <w:rPr>
          <w:rFonts w:cstheme="minorHAnsi"/>
          <w:sz w:val="24"/>
          <w:szCs w:val="24"/>
        </w:rPr>
        <w:t>Akt</w:t>
      </w:r>
    </w:p>
    <w:p w:rsidR="008110D5" w:rsidRPr="000B6AB1" w:rsidRDefault="008110D5" w:rsidP="008110D5">
      <w:pPr>
        <w:rPr>
          <w:rFonts w:cstheme="minorHAnsi"/>
          <w:sz w:val="24"/>
          <w:szCs w:val="24"/>
        </w:rPr>
      </w:pPr>
      <w:hyperlink r:id="rId10" w:history="1">
        <w:r w:rsidRPr="000B6AB1">
          <w:rPr>
            <w:rStyle w:val="Hipercze"/>
            <w:rFonts w:cstheme="minorHAnsi"/>
            <w:color w:val="004494"/>
            <w:sz w:val="24"/>
            <w:szCs w:val="24"/>
            <w:bdr w:val="none" w:sz="0" w:space="0" w:color="auto" w:frame="1"/>
          </w:rPr>
          <w:t>Więcej informacji na temat przyjętych aktów</w:t>
        </w:r>
      </w:hyperlink>
    </w:p>
    <w:p w:rsidR="008110D5" w:rsidRPr="000B6AB1" w:rsidRDefault="008110D5" w:rsidP="008110D5">
      <w:pPr>
        <w:rPr>
          <w:rFonts w:cstheme="minorHAnsi"/>
          <w:sz w:val="24"/>
          <w:szCs w:val="24"/>
        </w:rPr>
      </w:pPr>
      <w:r w:rsidRPr="000B6AB1">
        <w:rPr>
          <w:rFonts w:cstheme="minorHAnsi"/>
          <w:b/>
          <w:bCs/>
          <w:sz w:val="24"/>
          <w:szCs w:val="24"/>
        </w:rPr>
        <w:t>Planowane na:</w:t>
      </w:r>
      <w:r w:rsidR="00F50F49" w:rsidRPr="000B6AB1">
        <w:rPr>
          <w:rFonts w:cstheme="minorHAnsi"/>
          <w:b/>
          <w:bCs/>
          <w:sz w:val="24"/>
          <w:szCs w:val="24"/>
        </w:rPr>
        <w:t xml:space="preserve">     </w:t>
      </w:r>
      <w:r w:rsidRPr="000B6AB1">
        <w:rPr>
          <w:rFonts w:cstheme="minorHAnsi"/>
          <w:sz w:val="24"/>
          <w:szCs w:val="24"/>
        </w:rPr>
        <w:t>Pierwszy kwartał 2022</w:t>
      </w:r>
    </w:p>
    <w:p w:rsidR="008110D5" w:rsidRDefault="008110D5" w:rsidP="008110D5"/>
    <w:p w:rsidR="008110D5" w:rsidRDefault="008110D5" w:rsidP="008110D5"/>
    <w:p w:rsidR="008110D5" w:rsidRDefault="008110D5">
      <w:r>
        <w:br w:type="page"/>
      </w:r>
    </w:p>
    <w:p w:rsidR="00982B5D" w:rsidRDefault="00982B5D"/>
    <w:tbl>
      <w:tblPr>
        <w:tblStyle w:val="Tabela-Siatka"/>
        <w:tblW w:w="0" w:type="auto"/>
        <w:tblLook w:val="04A0"/>
      </w:tblPr>
      <w:tblGrid>
        <w:gridCol w:w="2799"/>
        <w:gridCol w:w="6489"/>
      </w:tblGrid>
      <w:tr w:rsidR="008A6EB8" w:rsidTr="00E77447">
        <w:tc>
          <w:tcPr>
            <w:tcW w:w="9288" w:type="dxa"/>
            <w:gridSpan w:val="2"/>
            <w:shd w:val="clear" w:color="auto" w:fill="C6D9F1" w:themeFill="text2" w:themeFillTint="33"/>
          </w:tcPr>
          <w:p w:rsidR="008A6EB8" w:rsidRPr="00E36A35" w:rsidRDefault="008A6EB8">
            <w:pPr>
              <w:rPr>
                <w:highlight w:val="cyan"/>
              </w:rPr>
            </w:pPr>
            <w:r w:rsidRPr="00E77447">
              <w:t>POŁĄCZONA OCENA MAPY DROGOWEJ / INCEPTJI</w:t>
            </w:r>
          </w:p>
        </w:tc>
      </w:tr>
      <w:tr w:rsidR="008A6EB8" w:rsidTr="00E77447">
        <w:tc>
          <w:tcPr>
            <w:tcW w:w="9288" w:type="dxa"/>
            <w:gridSpan w:val="2"/>
          </w:tcPr>
          <w:p w:rsidR="008A6EB8" w:rsidRDefault="008A6EB8" w:rsidP="00E77447">
            <w:pPr>
              <w:jc w:val="both"/>
            </w:pPr>
            <w:r w:rsidRPr="008A6EB8">
              <w:t>Ta połączona ocena planu działania / wstępnej oceny wpływu ma na celu poinformowanie obywateli i zainteresowanych stron o pracach Komisji, aby umożliwić im przekazywanie informacji zwrotnych na temat planowanej inicjatywy i skuteczne uczestnictwo w przyszłych działaniach konsultacyjnych. Zachęca się w szczególności obywateli i zainteresowane strony do przedstawienia poglądów na temat zrozumienia przez Komisję obecnej sytuacji, problemu i możliwych rozwiązań oraz do udostępnienia wszelkich istotnych informacji, które mogą mieć, w tym na temat możliwych skutków różnych wariantów.</w:t>
            </w:r>
          </w:p>
        </w:tc>
      </w:tr>
      <w:tr w:rsidR="008A6EB8" w:rsidTr="00E77447">
        <w:trPr>
          <w:trHeight w:val="204"/>
        </w:trPr>
        <w:tc>
          <w:tcPr>
            <w:tcW w:w="2799" w:type="dxa"/>
          </w:tcPr>
          <w:p w:rsidR="008A6EB8" w:rsidRDefault="008A6EB8" w:rsidP="008A6EB8">
            <w:r>
              <w:t>TYTUŁ INICJATYWY</w:t>
            </w:r>
          </w:p>
        </w:tc>
        <w:tc>
          <w:tcPr>
            <w:tcW w:w="6489" w:type="dxa"/>
          </w:tcPr>
          <w:p w:rsidR="008A6EB8" w:rsidRDefault="008A6EB8">
            <w:r>
              <w:t>Przegląd dyrektywy w sprawie zrównoważonego stosowania pestycydów</w:t>
            </w:r>
          </w:p>
        </w:tc>
      </w:tr>
      <w:tr w:rsidR="008A6EB8" w:rsidTr="00E77447">
        <w:trPr>
          <w:trHeight w:val="203"/>
        </w:trPr>
        <w:tc>
          <w:tcPr>
            <w:tcW w:w="2799" w:type="dxa"/>
          </w:tcPr>
          <w:p w:rsidR="008A6EB8" w:rsidRDefault="008A6EB8" w:rsidP="008A6EB8">
            <w:r>
              <w:t>LEAD DG - JEDNOSTKA ODPOWIEDZIALNA - NUMER AP</w:t>
            </w:r>
          </w:p>
        </w:tc>
        <w:tc>
          <w:tcPr>
            <w:tcW w:w="6489" w:type="dxa"/>
          </w:tcPr>
          <w:p w:rsidR="008A6EB8" w:rsidRDefault="008A6EB8">
            <w:r>
              <w:t>DG SANTE, Dział F3 (rośliny i substancje organiczne)</w:t>
            </w:r>
          </w:p>
        </w:tc>
      </w:tr>
      <w:tr w:rsidR="008A6EB8" w:rsidTr="00E77447">
        <w:trPr>
          <w:trHeight w:val="203"/>
        </w:trPr>
        <w:tc>
          <w:tcPr>
            <w:tcW w:w="2799" w:type="dxa"/>
          </w:tcPr>
          <w:p w:rsidR="008A6EB8" w:rsidRDefault="008A6EB8" w:rsidP="008A6EB8">
            <w:r>
              <w:t>proponowany TYP INICJATYWY</w:t>
            </w:r>
          </w:p>
        </w:tc>
        <w:tc>
          <w:tcPr>
            <w:tcW w:w="6489" w:type="dxa"/>
          </w:tcPr>
          <w:p w:rsidR="008A6EB8" w:rsidRDefault="008A6EB8">
            <w:r>
              <w:t>Wniosek legislacyjny</w:t>
            </w:r>
          </w:p>
        </w:tc>
      </w:tr>
      <w:tr w:rsidR="008A6EB8" w:rsidTr="00E77447">
        <w:trPr>
          <w:trHeight w:val="203"/>
        </w:trPr>
        <w:tc>
          <w:tcPr>
            <w:tcW w:w="2799" w:type="dxa"/>
          </w:tcPr>
          <w:p w:rsidR="008A6EB8" w:rsidRDefault="008A6EB8" w:rsidP="008A6EB8">
            <w:r>
              <w:t>PLANOWANIE ORIENTACYJNE</w:t>
            </w:r>
          </w:p>
        </w:tc>
        <w:tc>
          <w:tcPr>
            <w:tcW w:w="6489" w:type="dxa"/>
          </w:tcPr>
          <w:p w:rsidR="008A6EB8" w:rsidRDefault="008A6EB8">
            <w:r>
              <w:t>Q1 2022</w:t>
            </w:r>
          </w:p>
        </w:tc>
      </w:tr>
      <w:tr w:rsidR="008A6EB8" w:rsidTr="00E77447">
        <w:tc>
          <w:tcPr>
            <w:tcW w:w="2799" w:type="dxa"/>
          </w:tcPr>
          <w:p w:rsidR="008A6EB8" w:rsidRPr="0007436A" w:rsidRDefault="008A6EB8" w:rsidP="00687BBE">
            <w:pPr>
              <w:pStyle w:val="Default"/>
            </w:pPr>
            <w:r>
              <w:rPr>
                <w:b/>
                <w:bCs/>
                <w:sz w:val="20"/>
                <w:szCs w:val="20"/>
              </w:rPr>
              <w:t>Więcej informacji</w:t>
            </w:r>
          </w:p>
        </w:tc>
        <w:tc>
          <w:tcPr>
            <w:tcW w:w="6489" w:type="dxa"/>
          </w:tcPr>
          <w:tbl>
            <w:tblPr>
              <w:tblW w:w="0" w:type="auto"/>
              <w:tblBorders>
                <w:top w:val="nil"/>
                <w:left w:val="nil"/>
                <w:bottom w:val="nil"/>
                <w:right w:val="nil"/>
              </w:tblBorders>
              <w:tblLook w:val="0000"/>
            </w:tblPr>
            <w:tblGrid>
              <w:gridCol w:w="222"/>
              <w:gridCol w:w="6051"/>
            </w:tblGrid>
            <w:tr w:rsidR="008A6EB8" w:rsidRPr="0007436A" w:rsidTr="00687BBE">
              <w:tblPrEx>
                <w:tblCellMar>
                  <w:top w:w="0" w:type="dxa"/>
                  <w:bottom w:w="0" w:type="dxa"/>
                </w:tblCellMar>
              </w:tblPrEx>
              <w:trPr>
                <w:trHeight w:val="93"/>
              </w:trPr>
              <w:tc>
                <w:tcPr>
                  <w:tcW w:w="0" w:type="auto"/>
                </w:tcPr>
                <w:p w:rsidR="008A6EB8" w:rsidRPr="0007436A" w:rsidRDefault="008A6EB8" w:rsidP="008A6EB8">
                  <w:pPr>
                    <w:pStyle w:val="Default"/>
                    <w:rPr>
                      <w:sz w:val="16"/>
                      <w:szCs w:val="16"/>
                    </w:rPr>
                  </w:pPr>
                </w:p>
              </w:tc>
              <w:tc>
                <w:tcPr>
                  <w:tcW w:w="0" w:type="auto"/>
                </w:tcPr>
                <w:p w:rsidR="008A6EB8" w:rsidRPr="0007436A" w:rsidRDefault="008A6EB8" w:rsidP="00687BBE">
                  <w:pPr>
                    <w:pStyle w:val="Default"/>
                    <w:rPr>
                      <w:sz w:val="18"/>
                      <w:szCs w:val="18"/>
                    </w:rPr>
                  </w:pPr>
                  <w:r w:rsidRPr="0007436A">
                    <w:rPr>
                      <w:sz w:val="18"/>
                      <w:szCs w:val="18"/>
                    </w:rPr>
                    <w:t xml:space="preserve">https://ec.europa.eu/food/plant/pesticides/sustainable_use_pesticides_en </w:t>
                  </w:r>
                </w:p>
              </w:tc>
            </w:tr>
          </w:tbl>
          <w:p w:rsidR="008A6EB8" w:rsidRDefault="008A6EB8"/>
        </w:tc>
      </w:tr>
      <w:tr w:rsidR="008A6EB8" w:rsidTr="00E77447">
        <w:tc>
          <w:tcPr>
            <w:tcW w:w="9288" w:type="dxa"/>
            <w:gridSpan w:val="2"/>
          </w:tcPr>
          <w:p w:rsidR="008A6EB8" w:rsidRPr="00E77447" w:rsidRDefault="008A6EB8" w:rsidP="00E77447">
            <w:pPr>
              <w:jc w:val="both"/>
              <w:rPr>
                <w:color w:val="FF0000"/>
              </w:rPr>
            </w:pPr>
            <w:r w:rsidRPr="00E77447">
              <w:rPr>
                <w:color w:val="FF0000"/>
              </w:rPr>
              <w:t>Ta połączona ocena wpływu na mapę drogową / początkową została przedstawiona wyłącznie w celach informacyjnych. Nie przesądza to ostatecznej decyzji Komisji o tym, czy inicjatywa ta będzie realizowana, ani o jej ostatecznej treści. Wszystkie elementy inicjatywy opisane w tym dokumencie, w tym jej czas, mogą ulec zmianie.</w:t>
            </w:r>
          </w:p>
        </w:tc>
      </w:tr>
      <w:tr w:rsidR="008A6EB8" w:rsidTr="00E77447">
        <w:tc>
          <w:tcPr>
            <w:tcW w:w="9288" w:type="dxa"/>
            <w:gridSpan w:val="2"/>
            <w:shd w:val="clear" w:color="auto" w:fill="C6D9F1" w:themeFill="text2" w:themeFillTint="33"/>
          </w:tcPr>
          <w:p w:rsidR="008A6EB8" w:rsidRDefault="008A6EB8">
            <w:r w:rsidRPr="008A6EB8">
              <w:t>A. Kontekst, ocena, określenie problemu i kontrola pomocniczości</w:t>
            </w:r>
          </w:p>
        </w:tc>
      </w:tr>
      <w:tr w:rsidR="008A6EB8" w:rsidTr="00E77447">
        <w:tc>
          <w:tcPr>
            <w:tcW w:w="9288" w:type="dxa"/>
            <w:gridSpan w:val="2"/>
          </w:tcPr>
          <w:p w:rsidR="008A6EB8" w:rsidRDefault="008A6EB8">
            <w:r w:rsidRPr="008A6EB8">
              <w:t>Kontekst</w:t>
            </w:r>
          </w:p>
        </w:tc>
      </w:tr>
      <w:tr w:rsidR="008A6EB8" w:rsidTr="00E77447">
        <w:tc>
          <w:tcPr>
            <w:tcW w:w="9288" w:type="dxa"/>
            <w:gridSpan w:val="2"/>
          </w:tcPr>
          <w:p w:rsidR="008A6EB8" w:rsidRDefault="008A6EB8" w:rsidP="00E77447">
            <w:pPr>
              <w:jc w:val="both"/>
            </w:pPr>
            <w:r w:rsidRPr="008A6EB8">
              <w:t xml:space="preserve">Pestycydy (środki ochrony roślin) są stosowane przeciwko szkodnikom roślin, chorobom roślin i do zwalczania chwastów głównie w rolnictwie, ale także w leśnictwie i zielonych obszarach miejskich. Ponieważ pestycydy mogą wywierać szkodliwy wpływ na środowisko i zdrowie ludzkie, są one ściśle regulowane na poziomie UE, a ich stosowanie stanowi problem społeczny. Pestycydy można podzielić na kategorie w zależności od zagrożenia dla zdrowia i środowiska i mogą być chemikaliami lub mikroorganizmami. Dyrektywa w sprawie zrównoważonego stosowania pestycydów (SUD) została przyjęta w 2009 r. W celu zmniejszenia ryzyka i wpływu stosowania pestycydów na zdrowie ludzi i środowisko. Zintegrowane zarządzanie szkodnikami (IPM), podobne do innych praktyk zarządzania szkodnikami o niskim zużyciu pestycydów, takich jak rolnictwo ekologiczne, jest kluczową koncepcją SUD i obejmuje działania takie jak płodozmian, monitorowanie szkodników i przyjęcie </w:t>
            </w:r>
            <w:proofErr w:type="spellStart"/>
            <w:r w:rsidRPr="008A6EB8">
              <w:t>niechemicznych</w:t>
            </w:r>
            <w:proofErr w:type="spellEnd"/>
            <w:r w:rsidRPr="008A6EB8">
              <w:t xml:space="preserve"> technik zwalczania szkodników i mniej niebezpieczne pestycydy. SUD obejmuje stosowanie pestycydów, uzupełniając prawodawstwo UE dotyczące wprowadzania do obrotu pestycydów (rozporządzenie (WE) nr 1107/2009), pozostałości pestycydów (rozporządzenie (WE) nr 396/2005) i statystyki pestycydów (rozporządzenie ( WE) nr 1185/2009).</w:t>
            </w:r>
          </w:p>
          <w:p w:rsidR="008A6EB8" w:rsidRDefault="008A6EB8" w:rsidP="00E77447">
            <w:pPr>
              <w:jc w:val="both"/>
            </w:pPr>
            <w:r>
              <w:t>W ramach europejskiego zielonego porozumienia strategia Komisji „od rolnika do widelca” podkreśla potrzebę przejścia na sprawiedliwy, zdrowy i przyjazny dla środowiska system żywności, podkreślając jednocześnie znaczenie poprawy pozycji rolników (którzy są kluczowi do zarządzania przejście</w:t>
            </w:r>
            <w:r w:rsidR="00825E96">
              <w:t>m</w:t>
            </w:r>
            <w:r>
              <w:t xml:space="preserve">) w łańcuchu wartości. Proponuje konkretne cele w celu ograniczenia stosowania i ryzyka stosowania pestycydów chemicznych i bardziej niebezpiecznych pestycydów do 2030 r. Inicjatywa ta uzupełnia strategię UE na rzecz różnorodności biologicznej do 2030 r. Oraz strategię zerowego zanieczyszczenia. SUD jest postrzegany jako kluczowe narzędzie do osiągnięcia celów nakreślonych w strategii Farm to </w:t>
            </w:r>
            <w:proofErr w:type="spellStart"/>
            <w:r>
              <w:t>Fork</w:t>
            </w:r>
            <w:proofErr w:type="spellEnd"/>
            <w:r>
              <w:t xml:space="preserve"> i jako taki powinien zostać wzmocniony.</w:t>
            </w:r>
          </w:p>
          <w:p w:rsidR="008A6EB8" w:rsidRDefault="008A6EB8" w:rsidP="00E77447">
            <w:pPr>
              <w:jc w:val="both"/>
            </w:pPr>
            <w:r>
              <w:t xml:space="preserve">Kontrole, prace wyjaśniające i sprawozdania z realizacji sporządzone przez Komisję, sprawozdanie Parlamentu Europejskiego w sprawie wdrażania SUD oraz ostatnie sprawozdanie Europejskiego Trybunału Obrachunkowego wskazują na uchybienia we wdrażaniu, stosowaniu i egzekwowaniu SUD </w:t>
            </w:r>
            <w:r>
              <w:lastRenderedPageBreak/>
              <w:t>oraz na niepowodzenie w wystarczającym stopniu osiągnąć swój ogólny cel. Ponadto liczne petycje, listy i pytania do Parlamentu Europejskiego dotyczące stosowania pestycydów budzą rosnące obawy społeczne. W związku z tym Komisja ocenia SUD i ocenia wpływ możliwych przyszłych środków mających na celu znaczne ograniczenie stosowania i ryzyka stosowania pestycydów chemicznych.</w:t>
            </w:r>
          </w:p>
        </w:tc>
      </w:tr>
      <w:tr w:rsidR="008A6EB8" w:rsidTr="00E77447">
        <w:tc>
          <w:tcPr>
            <w:tcW w:w="9288" w:type="dxa"/>
            <w:gridSpan w:val="2"/>
          </w:tcPr>
          <w:p w:rsidR="008A6EB8" w:rsidRDefault="008A6EB8" w:rsidP="008A6EB8">
            <w:r>
              <w:lastRenderedPageBreak/>
              <w:t>Ewaluacja</w:t>
            </w:r>
          </w:p>
        </w:tc>
      </w:tr>
      <w:tr w:rsidR="008A6EB8" w:rsidTr="00E77447">
        <w:tc>
          <w:tcPr>
            <w:tcW w:w="9288" w:type="dxa"/>
            <w:gridSpan w:val="2"/>
          </w:tcPr>
          <w:p w:rsidR="008A6EB8" w:rsidRDefault="008A6EB8" w:rsidP="00E77447">
            <w:pPr>
              <w:jc w:val="both"/>
            </w:pPr>
            <w:r w:rsidRPr="008A6EB8">
              <w:t>Ocena oceni stopień, w jakim zamierzone cele SUD są dziś aktualne, oraz zakres, w jakim SUD zrealizowała je w stosunku do nich. Komisja zbada przyczyny zaobserwowanych uchybień we wdrażaniu, stosowaniu i egzekwowaniu przepisów. Ocena oceni, czy SUD jest najlepiej zaprojektowany, aby wystarczająco promować systemy zarządzania szkodnikami o niskim nakładzie pestycydów, a także wykorzystać istniejącą wiedzę oraz nowe ustalenia i technologie oraz szersze zastosowanie innowacyjnych i precyzyjnych technik uprawy, które mogą pomóc w ograniczeniu stosowania i ryzyko chemicznych pestycydów. Komisja zbada, w jakim stopniu spójne powiązanie z innymi przepisami i politykami UE, takimi jak rolnictwo, woda, odpady, bezpieczeństwo pracowników, maszyny rolnicze i różnorodność biologiczna, zostało wystarczająco wdrożone i czy wpłynęło to na osiągnięcie celów. Ocena uwzględni ostatnią ocenę prawodawstwa UE dotyczącego środków ochrony roślin i pozostałości pestycydów oraz oceni, w jaki sposób i w jakim zakresie te akty prawne wraz z SUD zapewniają spójne ramy polityczne. Oceni koszty i korzyści działań oraz ich wartość dodaną dla UE. Zbadane zostaną wszelkie potencjalnie niepotrzebne obciążenia i złożoność związane z wdrażaniem tego prawodawstwa.</w:t>
            </w:r>
          </w:p>
          <w:p w:rsidR="008A6EB8" w:rsidRDefault="008A6EB8" w:rsidP="00E77447">
            <w:pPr>
              <w:jc w:val="both"/>
            </w:pPr>
            <w:r>
              <w:t>Zakres oceny obejmie również zharmonizowane wskaźniki ryzyka ustanowione dyrektywą Komisji (UE) 2019/782, które charakteryzują potencjalne ryzyko związane ze stosowaniem pestycydów. W odniesieniu do poprawy monitorowania skutków stosowania pestycydów ocena obejmie również wytyczne Komisji dotyczące monitorowania i badania wpływu stosowania pestycydów na zdrowie ludzkie i środowisko. Oceni, w jaki sposób skuteczne i spójne wymogi dotyczące gromadzenia danych zawarte w rozporządzeniu w sprawie statystyk pestycydów wspierają monitorowanie. Ocena obejmie okres od 2011 r. (Rok, w którym państwa członkowskie musiały dokonać transpozycji dyrektywy) do 2020 r. W analizie porównane zostaną cele z celami sprzed 2011 r., Z uwzględnieniem wpływów elementów zewnętrznych. Zasięg geograficzny obejmie państwa członkowskie UE, w tym Wielka Brytania do góry Nr ref. Ares (2020) 2804518 - 29/05/2020</w:t>
            </w:r>
            <w:r w:rsidR="006539B7">
              <w:t xml:space="preserve"> </w:t>
            </w:r>
            <w:r>
              <w:t>do okresu przejściowego wyjścia z UE i podczas tego okresu.</w:t>
            </w:r>
          </w:p>
          <w:p w:rsidR="008A6EB8" w:rsidRDefault="008A6EB8" w:rsidP="00E77447">
            <w:pPr>
              <w:jc w:val="both"/>
            </w:pPr>
            <w:r>
              <w:t>Wstępne wyniki oceny zostaną wykorzystane do ustalenia sytuacji wyjściowej dla oceny skutków, doprecyzowania definicji problemu i opcji polityki oraz uwzględnienia ich analizy.</w:t>
            </w:r>
          </w:p>
        </w:tc>
      </w:tr>
      <w:tr w:rsidR="008A6EB8" w:rsidTr="00E77447">
        <w:tc>
          <w:tcPr>
            <w:tcW w:w="9288" w:type="dxa"/>
            <w:gridSpan w:val="2"/>
          </w:tcPr>
          <w:p w:rsidR="008A6EB8" w:rsidRDefault="006539B7">
            <w:r w:rsidRPr="006539B7">
              <w:t>Problemy, które inicjatywa ma rozwiązać</w:t>
            </w:r>
          </w:p>
        </w:tc>
      </w:tr>
      <w:tr w:rsidR="008A6EB8" w:rsidTr="00E77447">
        <w:tc>
          <w:tcPr>
            <w:tcW w:w="9288" w:type="dxa"/>
            <w:gridSpan w:val="2"/>
          </w:tcPr>
          <w:p w:rsidR="008A6EB8" w:rsidRDefault="006539B7" w:rsidP="00E77447">
            <w:pPr>
              <w:jc w:val="both"/>
            </w:pPr>
            <w:r w:rsidRPr="006539B7">
              <w:t xml:space="preserve">Komisja rozpoczyna przegląd SUD w celu rozwiązania kluczowego problemu ograniczonej skuteczności SUD w ograniczaniu stosowania pestycydów i potencjalnego ryzyka dla zdrowia ludzkiego i środowiska we wszystkich państwach członkowskich. Opublikowane przez Komisję wskaźniki monitorowania zgodności wskazują na znaczne niedociągnięcia we wdrażaniu, stosowaniu i egzekwowaniu różnych elementów SUD we wszystkich państwach członkowskich. Dostępne dane wskazują, że sprzedaż pestycydów w UE pozostała mniej więcej stabilna od 2011 r. I że absorpcja </w:t>
            </w:r>
            <w:proofErr w:type="spellStart"/>
            <w:r w:rsidRPr="006539B7">
              <w:t>niechemicznych</w:t>
            </w:r>
            <w:proofErr w:type="spellEnd"/>
            <w:r w:rsidRPr="006539B7">
              <w:t xml:space="preserve"> pestycydów jest niewielka. Może to wynikać między innymi z ich ograniczonej dostępności lub skuteczności lub braku bodźców lub presji na użytkowników pestycydów, aby przyjęli takie alternatywne techniki. Istnieją przesłanki, że stosowanie pestycydów chemicznych w obecnym kształcie przyczynia się do wzrostu trendu utraty różnorodności biologicznej oraz możliwego zanieczyszczenia wody i gleby w całej UE.</w:t>
            </w:r>
          </w:p>
          <w:p w:rsidR="006539B7" w:rsidRDefault="006539B7" w:rsidP="00E77447">
            <w:pPr>
              <w:jc w:val="both"/>
            </w:pPr>
            <w:r>
              <w:t>Możliwe przyczyny ograniczonej skuteczności SUD obejmują:</w:t>
            </w:r>
          </w:p>
          <w:p w:rsidR="006539B7" w:rsidRDefault="006539B7" w:rsidP="00E77447">
            <w:pPr>
              <w:pStyle w:val="Akapitzlist"/>
              <w:numPr>
                <w:ilvl w:val="0"/>
                <w:numId w:val="6"/>
              </w:numPr>
              <w:jc w:val="both"/>
            </w:pPr>
            <w:r>
              <w:t xml:space="preserve">Wdrożenie, stosowanie i egzekwowanie różnych przepisów SUD było niewystarczające i nierównomierne we wszystkich państwach członkowskich. W szczególności stosowanie i egzekwowanie zintegrowanego zarządzania szkodnikami w celu promowania zarządzania szkodnikami przy niskim zużyciu pestycydów i priorytetowego traktowania metod </w:t>
            </w:r>
            <w:proofErr w:type="spellStart"/>
            <w:r>
              <w:t>niechemicznych</w:t>
            </w:r>
            <w:proofErr w:type="spellEnd"/>
            <w:r>
              <w:t xml:space="preserve"> było słabe.</w:t>
            </w:r>
          </w:p>
          <w:p w:rsidR="006539B7" w:rsidRDefault="006539B7" w:rsidP="00E77447">
            <w:pPr>
              <w:pStyle w:val="Akapitzlist"/>
              <w:numPr>
                <w:ilvl w:val="0"/>
                <w:numId w:val="6"/>
              </w:numPr>
              <w:jc w:val="both"/>
            </w:pPr>
            <w:r>
              <w:t xml:space="preserve">W krajowych planach działania przyjętych i wdrażanych przez państwa członkowskie w </w:t>
            </w:r>
            <w:r>
              <w:lastRenderedPageBreak/>
              <w:t>ramach SUD często brakuje odpowiedniej treści i zaangażowania we wdrażanie wymagań SUD (np. W zakresie ustalania celów ilościowych, zadań, środków i harmonogramów).</w:t>
            </w:r>
          </w:p>
          <w:p w:rsidR="006539B7" w:rsidRDefault="006539B7" w:rsidP="00E77447">
            <w:pPr>
              <w:pStyle w:val="Akapitzlist"/>
              <w:numPr>
                <w:ilvl w:val="0"/>
                <w:numId w:val="6"/>
              </w:numPr>
              <w:jc w:val="both"/>
            </w:pPr>
            <w:r>
              <w:t>Trudności państw członkowskich we wdrożeniu do krajowych planów działania zasad zintegrowanego zarządzania szkodnikami, jak obecnie określono w SUD.</w:t>
            </w:r>
          </w:p>
          <w:p w:rsidR="006539B7" w:rsidRDefault="006539B7" w:rsidP="00E77447">
            <w:pPr>
              <w:pStyle w:val="Akapitzlist"/>
              <w:numPr>
                <w:ilvl w:val="0"/>
                <w:numId w:val="6"/>
              </w:numPr>
              <w:jc w:val="both"/>
            </w:pPr>
            <w:r>
              <w:t>Brak wymagań UE dotyczących przechowywania pestycydów przez użytkowników pestycydów, co prowadzi do trudności dla właściwych organów państw członkowskich lub ekspertów UE w potwierdzeniu, czy i jak podjęto takie działania;</w:t>
            </w:r>
          </w:p>
          <w:p w:rsidR="006539B7" w:rsidRDefault="006539B7" w:rsidP="00E77447">
            <w:pPr>
              <w:pStyle w:val="Akapitzlist"/>
              <w:numPr>
                <w:ilvl w:val="0"/>
                <w:numId w:val="6"/>
              </w:numPr>
              <w:jc w:val="both"/>
            </w:pPr>
            <w:r>
              <w:t>Użytkownicy pestycydów mogą nie mieć wiedzy i porad na temat ryzyka i korzyści związanych z chemicznym stosowaniem pestycydów, na przykład mogą nie wiedzieć o szczegółowych profilach ryzyka różnych pestycydów;</w:t>
            </w:r>
          </w:p>
          <w:p w:rsidR="006539B7" w:rsidRDefault="006539B7" w:rsidP="00E77447">
            <w:pPr>
              <w:pStyle w:val="Akapitzlist"/>
              <w:numPr>
                <w:ilvl w:val="0"/>
                <w:numId w:val="6"/>
              </w:numPr>
              <w:jc w:val="both"/>
            </w:pPr>
            <w:r>
              <w:t xml:space="preserve">Ograniczona dostępność mniej niebezpiecznych i </w:t>
            </w:r>
            <w:proofErr w:type="spellStart"/>
            <w:r>
              <w:t>niechemicznych</w:t>
            </w:r>
            <w:proofErr w:type="spellEnd"/>
            <w:r>
              <w:t xml:space="preserve"> pestycydów w porównaniu do innych bardziej niebezpiecznych kategorii;</w:t>
            </w:r>
          </w:p>
          <w:p w:rsidR="006539B7" w:rsidRDefault="006539B7" w:rsidP="00E77447">
            <w:pPr>
              <w:pStyle w:val="Akapitzlist"/>
              <w:numPr>
                <w:ilvl w:val="0"/>
                <w:numId w:val="6"/>
              </w:numPr>
              <w:jc w:val="both"/>
            </w:pPr>
            <w:r>
              <w:t>Ograniczone zachęty dla użytkowników pestycydów do przejścia na alternatywne metody zwalczania szkodników lub pestycydy niskiego ryzyka (o ile są dostępne) w ramach wspólnej polityki rolnej UE (WPR), ale także poprzez czynniki cenowe w łańcuchu produkcji i dystrybucji żywności oraz popyt konsumentów.</w:t>
            </w:r>
          </w:p>
          <w:p w:rsidR="006539B7" w:rsidRDefault="006539B7" w:rsidP="00E77447">
            <w:pPr>
              <w:jc w:val="both"/>
            </w:pPr>
            <w:r>
              <w:t>Przyczyny i przyczyny problemów zostaną przeanalizowane w ocenie. W oparciu o tę analizę definicja problemu zostanie dopracowana, a możliwe opcje polityki będą dalej rozwijane.</w:t>
            </w:r>
          </w:p>
          <w:p w:rsidR="006539B7" w:rsidRDefault="006539B7" w:rsidP="00E77447">
            <w:pPr>
              <w:jc w:val="both"/>
            </w:pPr>
            <w:r>
              <w:t>Stosowanie (lub niestosowanie) pestycydów może wpływać na plony i jakość plonów. Ze względu na słabe i nierównomierne wdrożenie, stosowanie i egzekwowanie SUD producenci mogą podlegać mniej lub bardziej rygorystycznym przepisom dotyczącym pestycydów lub niespójnego stosowania. To z kolei może wpłynąć na koszty produkcji żywności. Producenci w jednym państwie członkowskim mogą zatem skorzystać z przewagi konkurencyjnej w porównaniu do producentów w innych państwach członkowskich, co spowoduje nieuczciwą konkurencję na rynku żywności w UE.</w:t>
            </w:r>
          </w:p>
          <w:p w:rsidR="006539B7" w:rsidRDefault="006539B7" w:rsidP="00E77447">
            <w:pPr>
              <w:jc w:val="both"/>
            </w:pPr>
            <w:r>
              <w:t xml:space="preserve">Brak danych (np. Na temat sprzedaży pestycydów na poziomie </w:t>
            </w:r>
            <w:proofErr w:type="spellStart"/>
            <w:r>
              <w:t>zdezagregowanym</w:t>
            </w:r>
            <w:proofErr w:type="spellEnd"/>
            <w:r>
              <w:t xml:space="preserve"> i stosowania pestycydów) obecnie utrudnia wysiłki w celu oceny postępów w ograniczaniu stosowania pestycydów i ryzyka związanego z nimi oraz ograniczenia dostępnych dowodów w celu kształtowania polityki. Kwestia ta zostanie poruszona w rozporządzeniu ramowym w sprawie statystyki nakładów i produkcji rolnej, która obejmie również statystyki dotyczące pestycydów. Dane dotyczące monitorowania wdrażania i stosowania SUD są również rzadkie, a możliwe sposoby zwiększenia jego dostępności zostaną zbadane w ocenie skutków.</w:t>
            </w:r>
          </w:p>
        </w:tc>
      </w:tr>
      <w:tr w:rsidR="008A6EB8" w:rsidTr="00E77447">
        <w:tc>
          <w:tcPr>
            <w:tcW w:w="9288" w:type="dxa"/>
            <w:gridSpan w:val="2"/>
          </w:tcPr>
          <w:p w:rsidR="008A6EB8" w:rsidRDefault="006539B7">
            <w:r w:rsidRPr="006539B7">
              <w:lastRenderedPageBreak/>
              <w:t>Podstawa interwencji UE (podstawa prawna i kontrola pomocniczości)</w:t>
            </w:r>
          </w:p>
        </w:tc>
      </w:tr>
      <w:tr w:rsidR="008A6EB8" w:rsidTr="00E77447">
        <w:tc>
          <w:tcPr>
            <w:tcW w:w="9288" w:type="dxa"/>
            <w:gridSpan w:val="2"/>
          </w:tcPr>
          <w:p w:rsidR="008A6EB8" w:rsidRDefault="006539B7" w:rsidP="00E77447">
            <w:pPr>
              <w:jc w:val="both"/>
            </w:pPr>
            <w:r w:rsidRPr="006539B7">
              <w:t>Podstawą prawną działania w tym obszarze jest art. 192 ust. 1 Traktatu o funkcjonowaniu Unii Europejskiej (TFUE), który upoważnia Unię Europejską do podjęcia działań w celu zachowania, ochrony i poprawy jakości środowiska oraz w celu ochrony zdrowia ludzkiego. Działanie UE w tej dziedzinie jest uzasadnione zagrożeniami środowiskowymi, zdrowia publicznego i jednolitego rynku. Jeżeli niektóre państwa członkowskie nie podejmą działań w celu ograniczenia stosowania i ryzyka stosowania pestycydów, może to negatywnie wpłynąć na różnorodność biologiczną, jakość wody i zdrowie ludzkie w całej UE. Ponadto różne zasady stosowania pestycydów w poszczególnych państwach członkowskich mogą powodować nieuczciwą konkurencję i podważać prawidłowe funkcjonowanie jednolitego rynku towarów spożywczych. Różnice w wysiłkach podejmowanych przez państwa członkowskie w celu osiągnięcia zrównoważonego stosowania pestycydów w praktyce mogą wskazywać na potrzebę bardziej skoordynowanych i jednolitych środków na poziomie UE w celu stymulowania postępów w tej dziedzinie i reagowania na długotrwałe obawy społeczne dotyczące stosowania pestycydów.</w:t>
            </w:r>
          </w:p>
        </w:tc>
      </w:tr>
      <w:tr w:rsidR="008A6EB8" w:rsidTr="00E77447">
        <w:tc>
          <w:tcPr>
            <w:tcW w:w="9288" w:type="dxa"/>
            <w:gridSpan w:val="2"/>
            <w:shd w:val="clear" w:color="auto" w:fill="C6D9F1" w:themeFill="text2" w:themeFillTint="33"/>
          </w:tcPr>
          <w:p w:rsidR="008A6EB8" w:rsidRDefault="006539B7">
            <w:r w:rsidRPr="006539B7">
              <w:t>B. Cele i opcje polityki</w:t>
            </w:r>
          </w:p>
        </w:tc>
      </w:tr>
      <w:tr w:rsidR="008A6EB8" w:rsidTr="00E77447">
        <w:tc>
          <w:tcPr>
            <w:tcW w:w="9288" w:type="dxa"/>
            <w:gridSpan w:val="2"/>
          </w:tcPr>
          <w:p w:rsidR="006539B7" w:rsidRDefault="006539B7" w:rsidP="00E77447">
            <w:pPr>
              <w:jc w:val="both"/>
            </w:pPr>
            <w:r>
              <w:t>Zgodnie z europejską zieloną umową i strategią „od pola do stołu”, aby zapewnić sprawiedliwy, zdrowy i przyjazny dla środowiska system żywności oraz jako uzupełnienie strategii UE na rzecz różnorodności biologicznej na 2030 r., Zostaną podjęte działania mające na celu znaczne ograniczenie wykorzystania i ryzyka chemicznych pestycydów, w oparciu o istniejące dowody i dodatkową ocenę przeprowadzoną przez Komisję. Inicjatywa ta będzie kierować się następującymi celami:</w:t>
            </w:r>
          </w:p>
          <w:p w:rsidR="006539B7" w:rsidRDefault="006539B7" w:rsidP="00E77447">
            <w:pPr>
              <w:pStyle w:val="Akapitzlist"/>
              <w:numPr>
                <w:ilvl w:val="0"/>
                <w:numId w:val="7"/>
              </w:numPr>
              <w:jc w:val="both"/>
            </w:pPr>
            <w:r>
              <w:lastRenderedPageBreak/>
              <w:t>ograniczenie stosowania i ryzyka stosowania pestycydów zawierających bardziej niebezpieczne substancje czynne;</w:t>
            </w:r>
          </w:p>
          <w:p w:rsidR="006539B7" w:rsidRDefault="006539B7" w:rsidP="00E77447">
            <w:pPr>
              <w:pStyle w:val="Akapitzlist"/>
              <w:numPr>
                <w:ilvl w:val="0"/>
                <w:numId w:val="7"/>
              </w:numPr>
              <w:jc w:val="both"/>
            </w:pPr>
            <w:r>
              <w:t xml:space="preserve">zwiększyć wykorzystanie mniej niebezpiecznych i </w:t>
            </w:r>
            <w:proofErr w:type="spellStart"/>
            <w:r>
              <w:t>niechemicznych</w:t>
            </w:r>
            <w:proofErr w:type="spellEnd"/>
            <w:r>
              <w:t xml:space="preserve"> alternatyw dla zwalczania szkodników;</w:t>
            </w:r>
          </w:p>
          <w:p w:rsidR="006539B7" w:rsidRDefault="006539B7" w:rsidP="00E77447">
            <w:pPr>
              <w:pStyle w:val="Akapitzlist"/>
              <w:numPr>
                <w:ilvl w:val="0"/>
                <w:numId w:val="7"/>
              </w:numPr>
              <w:jc w:val="both"/>
            </w:pPr>
            <w:r>
              <w:t>poprawić wdrażanie, stosowanie i egzekwowanie SUD we wszystkich państwach członkowskich;</w:t>
            </w:r>
          </w:p>
          <w:p w:rsidR="008A6EB8" w:rsidRDefault="006539B7" w:rsidP="00E77447">
            <w:pPr>
              <w:pStyle w:val="Akapitzlist"/>
              <w:numPr>
                <w:ilvl w:val="0"/>
                <w:numId w:val="7"/>
              </w:numPr>
              <w:jc w:val="both"/>
            </w:pPr>
            <w:r>
              <w:t>poprawić dostępność danych monitorowania, np. w sprawie wdrożenia i stosowania SUD oraz zdrowia i aspekty środowiskowe.</w:t>
            </w:r>
          </w:p>
          <w:p w:rsidR="006539B7" w:rsidRDefault="006539B7" w:rsidP="00E77447">
            <w:pPr>
              <w:jc w:val="both"/>
            </w:pPr>
            <w:r>
              <w:t>Wstępny wynik oceny zostanie wykorzystany przez Komisję do zebrania dowodów na zidentyfikowane problemy i lepszego zdefiniowania opcji polityki, które należy zbadać podczas oceny skutków. Te opcje polityki, wraz z innymi politykami UE, takimi jak WPR, będą instrumentem realizacji celów wyznaczonych w ramach pestycydów ogłoszonych w ramach strategii „od pola do stołu” w celu ograniczenia stosowania i ryzyka syntetycznych pestycydów chemicznych, przy jednoczesnym uwzględnieniu potrzeba poprawy pozycji rolników w łańcuchu wartości, którzy są kluczem do urzeczywistnienia tego przejścia.</w:t>
            </w:r>
          </w:p>
          <w:p w:rsidR="006539B7" w:rsidRDefault="006539B7" w:rsidP="00E77447">
            <w:pPr>
              <w:jc w:val="both"/>
            </w:pPr>
            <w:r>
              <w:t>Opcje polityki zostaną opracowane na podstawie następujących elementów na podstawie ustaleń z oceny i przeanalizowane w ocenie skutków.</w:t>
            </w:r>
          </w:p>
          <w:p w:rsidR="006539B7" w:rsidRDefault="006539B7" w:rsidP="00E77447">
            <w:pPr>
              <w:pStyle w:val="Akapitzlist"/>
              <w:numPr>
                <w:ilvl w:val="0"/>
                <w:numId w:val="7"/>
              </w:numPr>
              <w:jc w:val="both"/>
            </w:pPr>
            <w:r>
              <w:t xml:space="preserve">Scenariusz odniesienia: gdyby nie wprowadzono żadnych zmian politycznych ani legislacyjnych w odniesieniu do SUD, państwa członkowskie kontynuowałyby wdrażanie istniejącego SUD, a Komisja kontynuowałaby kontrole w celu oceny zgodności i wszczyna postępowanie w sprawie uchybienia zobowiązaniom państwa członkowskiego przeciwko państwom członkowskim w przypadku wyraźnego braku zgodność z obowiązującymi przepisami prawnymi. Ten scenariusz bazowy koncentruje się na okresie po 2020 r. I obejmuje inne obecnie realizowane inicjatywy UE, które nie obejmują zmian w SUD, na przykład wnioski ogłoszone już przez </w:t>
            </w:r>
            <w:proofErr w:type="spellStart"/>
            <w:r>
              <w:t>Eurostat</w:t>
            </w:r>
            <w:proofErr w:type="spellEnd"/>
            <w:r>
              <w:t xml:space="preserve"> w celu zwiększenia dostępności, szczegółowości i użyteczności danych i statystyk dotyczących stosowania pestycydów i planowanych zmian do WPR, która pomogłaby promować cele SUD.</w:t>
            </w:r>
          </w:p>
          <w:p w:rsidR="006539B7" w:rsidRDefault="006539B7" w:rsidP="00E77447">
            <w:pPr>
              <w:pStyle w:val="Akapitzlist"/>
              <w:numPr>
                <w:ilvl w:val="0"/>
                <w:numId w:val="7"/>
              </w:numPr>
              <w:jc w:val="both"/>
            </w:pPr>
            <w:r>
              <w:t>Elementy, które mają być objęte opcjami politycznymi</w:t>
            </w:r>
          </w:p>
          <w:p w:rsidR="006539B7" w:rsidRDefault="006539B7" w:rsidP="00E77447">
            <w:pPr>
              <w:ind w:left="709" w:hanging="142"/>
              <w:jc w:val="both"/>
            </w:pPr>
            <w:r>
              <w:t>a) prawnie wiążące cele (dla UE i państw członkowskich) dotyczące ograniczenia stosowania i ryzyka syntetycznych chemicznych pestycydów, zgodnie z zapowiedzią w strategii „od pola do stołu”;</w:t>
            </w:r>
          </w:p>
          <w:p w:rsidR="006539B7" w:rsidRDefault="006539B7" w:rsidP="00E77447">
            <w:pPr>
              <w:ind w:left="709" w:hanging="142"/>
              <w:jc w:val="both"/>
            </w:pPr>
            <w:r>
              <w:t>b) jaśniejszy związek między celami SUD a innymi przepisami związanymi z ich wdrażaniem, takimi jak WPR i ramowa dyrektywa wodna;</w:t>
            </w:r>
          </w:p>
          <w:p w:rsidR="006539B7" w:rsidRDefault="006539B7" w:rsidP="00E77447">
            <w:pPr>
              <w:ind w:left="709" w:hanging="142"/>
              <w:jc w:val="both"/>
            </w:pPr>
            <w:r>
              <w:t xml:space="preserve">c) poprawa wykonalności SUD, na przykład poprzez lepszą </w:t>
            </w:r>
            <w:proofErr w:type="spellStart"/>
            <w:r>
              <w:t>operacjonalizację</w:t>
            </w:r>
            <w:proofErr w:type="spellEnd"/>
            <w:r>
              <w:t xml:space="preserve"> zasad zintegrowanego zarządzania szkodnikami, większy nacisk na wdrażanie krajowych planów działania i ewentualnych rocznych sprawozdań z postępów osiągniętych przez państwa członkowskie, ulepszone wytyczne i możliwe szkolenia ze strony Komisji lub możliwość zmiany instrumentu prawnego na rozporządzenie w celu zapewnienia bezpośredniego stosowania we wszystkich państwach członkowskich;</w:t>
            </w:r>
          </w:p>
          <w:p w:rsidR="006539B7" w:rsidRDefault="006539B7" w:rsidP="00E77447">
            <w:pPr>
              <w:ind w:left="709" w:hanging="142"/>
              <w:jc w:val="both"/>
            </w:pPr>
            <w:r>
              <w:t>d) bardziej skuteczny nadzór nad wdrażaniem SUD przez państwa członkowskie, na przykład poprzez szczegółowe przepisy dotyczące kontroli urzędowych przeprowadzanych przez właściwe organy krajowe zgodnie z nowym rozporządzeniem w sprawie kontroli urzędowych, oraz zwiększony nadzór nad egzekwowaniem prawa przez Komisję, na przykład poprzez audyty ekspertów;</w:t>
            </w:r>
          </w:p>
          <w:p w:rsidR="006539B7" w:rsidRDefault="006539B7" w:rsidP="00E77447">
            <w:pPr>
              <w:ind w:left="709" w:hanging="142"/>
              <w:jc w:val="both"/>
            </w:pPr>
            <w:r>
              <w:t xml:space="preserve">e) promowanie stosowania nowych technologii i alternatywnych technik w celu ograniczenia stosowania i ryzyka chemicznych pestycydów oraz lepszego osiągnięcia celów SUD, w szczególności w celu wyeliminowania potencjalnych obecnych barier w stosowaniu nowych technologii, takich jak </w:t>
            </w:r>
            <w:proofErr w:type="spellStart"/>
            <w:r>
              <w:t>drony</w:t>
            </w:r>
            <w:proofErr w:type="spellEnd"/>
            <w:r>
              <w:t>. Nowe technologie i techniki alternatywne mogą obejmować biologiczne alternatywy dla chemicznych pestycydów, mechaniczne metody zwalczania chwastów oraz bardziej nowoczesne i ukierunkowane systemy aplikacji pestycydów;</w:t>
            </w:r>
          </w:p>
          <w:p w:rsidR="006539B7" w:rsidRDefault="006539B7" w:rsidP="00E77447">
            <w:pPr>
              <w:ind w:left="709" w:hanging="142"/>
              <w:jc w:val="both"/>
            </w:pPr>
            <w:r>
              <w:t xml:space="preserve">f) ograniczenie stosowania i ryzyka chemicznych pestycydów poprzez dodatkowe środki, na </w:t>
            </w:r>
            <w:r>
              <w:lastRenderedPageBreak/>
              <w:t>przykład poprzez szczególne ograniczenia w stosowaniu chemicznych pestycydów i dodatkowe wymogi dotyczące prowadzenia rejestrów dotyczące stosowania pestycydów i testowania sprzętu do aplikacji pestycydów;</w:t>
            </w:r>
          </w:p>
          <w:p w:rsidR="006539B7" w:rsidRDefault="006539B7" w:rsidP="00E77447">
            <w:pPr>
              <w:ind w:left="709" w:hanging="142"/>
              <w:jc w:val="both"/>
            </w:pPr>
            <w:r>
              <w:t xml:space="preserve">g) rozważone zostanie również obowiązkowe gromadzenie i udostępnianie bardziej szczegółowych statystyk dotyczących stosowania pestycydów (wykraczające poza planowany wniosek w sprawie statystyk dotyczących </w:t>
            </w:r>
            <w:proofErr w:type="spellStart"/>
            <w:r>
              <w:t>rolnictwa</w:t>
            </w:r>
            <w:proofErr w:type="spellEnd"/>
            <w:r>
              <w:t>) oraz wdrożenie różnych aspektów SUD (takich jak szkolenie operatorów i testowanie sprzętu do aplikacji pestycydów) w celu ułatwienia możliwy rozwój nowych wskaźników monitorowania stosowania bardziej niebezpiecznych substancji czynnych i ogólna zależność od stosowania pestycydów w celu lepszej oceny zakresu, w jakim osiągane są cele SUD.</w:t>
            </w:r>
          </w:p>
          <w:p w:rsidR="006539B7" w:rsidRDefault="006539B7" w:rsidP="006539B7">
            <w:r>
              <w:t>Opcje zostaną zaprojektowane w taki sposób, aby umożliwić uproszczenie istniejących ram regulacyjnych i zmniejszenie, w miarę możliwości, zbędnych obciążeń regulacyjnych (w tym obowiązków administracyjnych / sprawozdawczych).</w:t>
            </w:r>
          </w:p>
        </w:tc>
      </w:tr>
      <w:tr w:rsidR="008A6EB8" w:rsidTr="00E77447">
        <w:tc>
          <w:tcPr>
            <w:tcW w:w="9288" w:type="dxa"/>
            <w:gridSpan w:val="2"/>
            <w:shd w:val="clear" w:color="auto" w:fill="C6D9F1" w:themeFill="text2" w:themeFillTint="33"/>
          </w:tcPr>
          <w:p w:rsidR="008A6EB8" w:rsidRDefault="006539B7">
            <w:r w:rsidRPr="006539B7">
              <w:lastRenderedPageBreak/>
              <w:t>C. Wstępna ocena spodziewanych skutków</w:t>
            </w:r>
          </w:p>
        </w:tc>
      </w:tr>
      <w:tr w:rsidR="008A6EB8" w:rsidTr="00E77447">
        <w:tc>
          <w:tcPr>
            <w:tcW w:w="9288" w:type="dxa"/>
            <w:gridSpan w:val="2"/>
          </w:tcPr>
          <w:p w:rsidR="008A6EB8" w:rsidRDefault="006539B7">
            <w:r w:rsidRPr="006539B7">
              <w:t>Prawdopodobne skutki ekonomiczne</w:t>
            </w:r>
          </w:p>
        </w:tc>
      </w:tr>
      <w:tr w:rsidR="006539B7" w:rsidTr="00E77447">
        <w:tc>
          <w:tcPr>
            <w:tcW w:w="9288" w:type="dxa"/>
            <w:gridSpan w:val="2"/>
          </w:tcPr>
          <w:p w:rsidR="006539B7" w:rsidRDefault="006539B7" w:rsidP="00E77447">
            <w:pPr>
              <w:jc w:val="both"/>
            </w:pPr>
            <w:r>
              <w:t>Oczekuje się, że wyżej wymienione elementy będą miały wpływ gospodarczy na właściwe organy państw członkowskich i Komisję zaangażowane w lepsze wdrażanie, egzekwowanie i nadzór obowiązujących przepisów prawnych. Większy nacisk na egzekwowanie przepisów może mieć również wpływ na rolników ze względu na bardziej rygorystyczne stosowanie IPM oraz na podmioty gospodarcze zaangażowane w dystrybucję i stosowanie pestycydów, które mogą spotkać się ze zwiększoną presją na wykazanie zgodności z obowiązującymi przepisami prawa. Koszty takie ponieśliby głównie te państwa członkowskie, w których poziom egzekwowania jest obecnie niski. Z drugiej strony lepsze i bardziej jednolite egzekwowanie obowiązującego prawodawstwa mogłoby pomóc w ograniczeniu zakłóceń konkurencji na jednolitym rynku związanych z obecnie rozbieżnymi stanami wdrażania SUD w różnych państwach członkowskich. Środki mające na celu zwiększenie produkcji w rolnictwie ekologicznym mogą mieć wpływ na dochody rolników i ceny żywności płacone przez konsumentów. Ograniczenie stosowania i ryzyko stosowania chemicznych pestycydów może przełożyć się na pewne korzyści dla zdrowia publicznego i związane z tym korzyści na produktywność pracowników oraz zmniejszenie kosztów zwolnień chorobowych i opieki zdrowotnej. Ponadto niektóre z tych kosztów mogłyby zostać zrekompensowane przez WPR i inne instrumenty wsparcia.</w:t>
            </w:r>
          </w:p>
          <w:p w:rsidR="006539B7" w:rsidRDefault="006539B7" w:rsidP="00E77447">
            <w:pPr>
              <w:jc w:val="both"/>
            </w:pPr>
            <w:r>
              <w:t xml:space="preserve">Bardziej zrównoważone i zmniejszone stosowanie pestycydów stanowi okazję do wniesienia wkładu w przekształcenie </w:t>
            </w:r>
            <w:proofErr w:type="spellStart"/>
            <w:r>
              <w:t>rolnictwa</w:t>
            </w:r>
            <w:proofErr w:type="spellEnd"/>
            <w:r>
              <w:t xml:space="preserve"> UE w nowoczesny, </w:t>
            </w:r>
            <w:proofErr w:type="spellStart"/>
            <w:r>
              <w:t>zasobooszczędny</w:t>
            </w:r>
            <w:proofErr w:type="spellEnd"/>
            <w:r>
              <w:t xml:space="preserve">, odporny i zróżnicowany sektor, zgodnie z celem zawartym w europejskiej zielonej umowie. Ograniczenie stosowania pestycydów może spowodować wzrost produktów wytwarzanych w warunkach </w:t>
            </w:r>
            <w:proofErr w:type="spellStart"/>
            <w:r>
              <w:t>rolnictwa</w:t>
            </w:r>
            <w:proofErr w:type="spellEnd"/>
            <w:r>
              <w:t xml:space="preserve"> ekologicznego, a tym samym odpowiedzieć na zapotrzebowanie konsumentów na te produkty. Zaostrzone przepisy dotyczące dystrybucji i stosowania pestycydów wprowadzone w UE mogą mieć wpływ na plony i produkcję żywności w UE (z powiązanymi możliwymi implikacjami handlowymi), a także mieć konsekwencje dla społeczności wiejskich, producentów i dystrybutorów pestycydów, producentów sprzętu do aplikacji pestycydów i inne rolnicze</w:t>
            </w:r>
          </w:p>
          <w:p w:rsidR="006539B7" w:rsidRDefault="006539B7" w:rsidP="00E77447">
            <w:pPr>
              <w:jc w:val="both"/>
            </w:pPr>
            <w:r>
              <w:t>nakłady itp. Zgodność z celami strategii „od pola do stołu” w celu ograniczenia stosowania i ryzyka stosowania pestycydów chemicznych może obniżyć koszty dla rolników, ponieważ pestycydy stanowią znaczny wydatek, ale mogą zwiększyć całkowity koszt produkcji żywności (w tym dla konsumentów), jeżeli zastosowane zostaną metody alternatywne (np. rolnictwo o niskim nakładzie) ma negatywny wpływ na plony i jakość produkcji.</w:t>
            </w:r>
          </w:p>
          <w:p w:rsidR="006539B7" w:rsidRDefault="006539B7" w:rsidP="00E77447">
            <w:pPr>
              <w:jc w:val="both"/>
            </w:pPr>
            <w:r>
              <w:t xml:space="preserve">Ewentualny wpływ zmiany kosztów produkcji rolnej i produkcji żywności na konkurencyjność producentów w UE w zakresie importu żywności spoza UE zostanie uwzględniony w zobowiązaniu europejskiego zielonego porozumienia, że ​​importowana żywność, która nie spełnia odpowiednich norm środowiskowych UE, nie jest dozwolona Rynki UE. Wszelkie możliwe skutki gospodarcze zostaną ocenione w połączeniu z innymi elementami strategii wzrostu przewidzianej w ramach europejskiego zielonego porozumienia. Ewentualny wpływ ograniczenia stosowania pestycydów w kontekście pozarolniczym może również mieć wpływ, na przykład na stosowanie wzdłuż pasów </w:t>
            </w:r>
            <w:r>
              <w:lastRenderedPageBreak/>
              <w:t>startowych lotnisk i linii kolejowych, ale także w parkach i obiektach sportowych. Uwzględniają one oczekiwania obywateli dotyczące czystego środowiska, a jednocześnie mogą zwiększać koszty operatorów związane z alternatywnymi metodami kontroli chwastów.</w:t>
            </w:r>
          </w:p>
          <w:p w:rsidR="006539B7" w:rsidRDefault="006539B7" w:rsidP="00E77447">
            <w:pPr>
              <w:jc w:val="both"/>
            </w:pPr>
            <w:r>
              <w:t xml:space="preserve">Niższa sprzedaż pestycydów chemicznych wpłynie negatywnie na sektor sprzedaży i dystrybucji, ale może zostać zrekompensowana wyższą sprzedażą mniej niebezpiecznych produktów i alternatyw biologicznych. Skuteczniejsza </w:t>
            </w:r>
            <w:proofErr w:type="spellStart"/>
            <w:r>
              <w:t>promocja</w:t>
            </w:r>
            <w:proofErr w:type="spellEnd"/>
            <w:r>
              <w:t xml:space="preserve"> nowych technologii i technik alternatywnych mogłaby stworzyć potencjał innowacyjny i związany z tym wzrost popytu i pobudzenie gospodarcze w powiązanych sektorach. Uwzględniają one cele europejskiego zielonego porozumienia dotyczące zwiększenia konkurencyjności sektora rolnego i zapewnienia sprawiedliwych dochodów, przy jednoczesnym promowaniu stosowania wiedzy i innowacji. Wprowadzenie bardziej rygorystycznych wymogów prawnych może mieć wpływ na zasoby właściwych organów państw członkowskich, które zostaną wezwane do wdrożenia i egzekwowania nowych wymogów regulacyjnych. Rolnicy i inne podmioty gospodarcze mogą zostać obciążone kosztami dostosowania się do wszelkich nowych obowiązków ustawodawczych.</w:t>
            </w:r>
          </w:p>
        </w:tc>
      </w:tr>
      <w:tr w:rsidR="006539B7" w:rsidTr="00E77447">
        <w:tc>
          <w:tcPr>
            <w:tcW w:w="9288" w:type="dxa"/>
            <w:gridSpan w:val="2"/>
          </w:tcPr>
          <w:p w:rsidR="006539B7" w:rsidRDefault="006539B7">
            <w:r w:rsidRPr="006539B7">
              <w:lastRenderedPageBreak/>
              <w:t>Prawdopodobne skutki społeczne i zdrowotne</w:t>
            </w:r>
          </w:p>
        </w:tc>
      </w:tr>
      <w:tr w:rsidR="006539B7" w:rsidTr="00E77447">
        <w:tc>
          <w:tcPr>
            <w:tcW w:w="9288" w:type="dxa"/>
            <w:gridSpan w:val="2"/>
          </w:tcPr>
          <w:p w:rsidR="006539B7" w:rsidRDefault="006539B7" w:rsidP="00E77447">
            <w:pPr>
              <w:jc w:val="both"/>
            </w:pPr>
            <w:r w:rsidRPr="006539B7">
              <w:t>Oczekuje się, że ograniczenia w stosowaniu pestycydów chemicznych i ryzyko będą miały pewne pozytywne skutki zdrowotne, ponieważ zmniejszą bezpośrednie narażenie na pestycydy dla użytkowników pestycydów, w tym rolników, oraz dla członków społeczeństwa, zwłaszcza mieszkających na obszarach wiejskich. Te pozytywne skutki zdrowotne przełożyłyby się na korzyści ekonomiczne (zmniejszenie wydatków na opiekę zdrowotną, wyższa wydajność pracy), jak opisano powyżej. Cele dotyczące ograniczenia w połączeniu z ograniczeniami stosowania odpowiadałyby na obawy społeczne i odpowiadałyby na społeczne wymagania dotyczące zdrowszego wyboru żywności. Wzmocniłoby to pozycję rolników i społeczności wiejskich w społeczeństwie jako dostawcy zdrowej żywności z poszanowaniem środowiska.</w:t>
            </w:r>
          </w:p>
        </w:tc>
      </w:tr>
      <w:tr w:rsidR="006539B7" w:rsidTr="00E77447">
        <w:tc>
          <w:tcPr>
            <w:tcW w:w="9288" w:type="dxa"/>
            <w:gridSpan w:val="2"/>
          </w:tcPr>
          <w:p w:rsidR="006539B7" w:rsidRDefault="006539B7">
            <w:r w:rsidRPr="006539B7">
              <w:t>Prawdopodobny wpływ na środowisko</w:t>
            </w:r>
          </w:p>
        </w:tc>
      </w:tr>
      <w:tr w:rsidR="006539B7" w:rsidTr="00E77447">
        <w:tc>
          <w:tcPr>
            <w:tcW w:w="9288" w:type="dxa"/>
            <w:gridSpan w:val="2"/>
          </w:tcPr>
          <w:p w:rsidR="006539B7" w:rsidRDefault="006539B7" w:rsidP="00E77447">
            <w:pPr>
              <w:jc w:val="both"/>
            </w:pPr>
            <w:r w:rsidRPr="006539B7">
              <w:t>Oczekuje się, że wdrożenie dalszych opcji politycznych w celu ograniczenia stosowania i ryzyka stosowania pestycydów chemicznych będzie miało pozytywny wpływ na środowisko na różnorodność biologiczną oraz jakość wody i gleby. Narażenie środowiska zostanie zmniejszone dzięki lepszemu wdrożeniu niektórych środków, takich jak lepsze stosowanie zasad IPM i zgodność z wymogami dotyczącymi sprzętu do aplikacji pestycydów, co ostatecznie doprowadziłoby odpowiednio do ograniczenia stosowania bardziej niebezpiecznych pestycydów i lepszego stosowania pestycydów. Bardziej surowe przepisy prawne mogą mieć większy wpływ na środowisko, jeśli na przykład stosowanie bardziej niebezpiecznych pestycydów podlegałoby surowszym warunkom. Można oczekiwać pozytywnego wpływu na środowisko na różnorodność biologiczną oraz jakość wody i gleby w związku ze zgodnością z celami strategii „od farmy do widelca” w celu zmniejszenia zużycia i ryzyka stosowania chemicznych pestycydów.</w:t>
            </w:r>
          </w:p>
        </w:tc>
      </w:tr>
      <w:tr w:rsidR="006539B7" w:rsidTr="00E77447">
        <w:tc>
          <w:tcPr>
            <w:tcW w:w="9288" w:type="dxa"/>
            <w:gridSpan w:val="2"/>
          </w:tcPr>
          <w:p w:rsidR="006539B7" w:rsidRDefault="006539B7">
            <w:r w:rsidRPr="006539B7">
              <w:t>Prawdopodobny wpływ na prawa podstawowe</w:t>
            </w:r>
          </w:p>
        </w:tc>
      </w:tr>
      <w:tr w:rsidR="006539B7" w:rsidTr="00E77447">
        <w:tc>
          <w:tcPr>
            <w:tcW w:w="9288" w:type="dxa"/>
            <w:gridSpan w:val="2"/>
          </w:tcPr>
          <w:p w:rsidR="006539B7" w:rsidRDefault="00AF6F10" w:rsidP="00E77447">
            <w:pPr>
              <w:jc w:val="both"/>
            </w:pPr>
            <w:r w:rsidRPr="00AF6F10">
              <w:t>Uważa się, że inicjatywa ta ma ograniczony wpływ na prawa podstawowe. Lepsze egzekwowanie SUD mogłoby przyczynić się do podstawowego prawa do „sprawiedliwych i sprawiedliwych warunków pracy” (art. 31 Karty praw podstawowych UE). W szczególności może przyczynić się do prawa do warunków pracy szanujących zdrowie, bezpieczeństwo i godność pracowników.</w:t>
            </w:r>
          </w:p>
        </w:tc>
      </w:tr>
      <w:tr w:rsidR="006539B7" w:rsidTr="00E77447">
        <w:tc>
          <w:tcPr>
            <w:tcW w:w="9288" w:type="dxa"/>
            <w:gridSpan w:val="2"/>
          </w:tcPr>
          <w:p w:rsidR="006539B7" w:rsidRDefault="00AF6F10">
            <w:r w:rsidRPr="00AF6F10">
              <w:t>Prawdopodobny wpływ na uproszczenie i / lub obciążenie administracyjne</w:t>
            </w:r>
          </w:p>
        </w:tc>
      </w:tr>
      <w:tr w:rsidR="006539B7" w:rsidTr="00E77447">
        <w:tc>
          <w:tcPr>
            <w:tcW w:w="9288" w:type="dxa"/>
            <w:gridSpan w:val="2"/>
          </w:tcPr>
          <w:p w:rsidR="006539B7" w:rsidRDefault="00AF6F10">
            <w:r w:rsidRPr="00AF6F10">
              <w:t>Obciążenie administracyjne zostanie ocenione wraz z innymi kosztami opcji politycznych rozważanymi dla różnych zainteresowanych stron, w tym rolników i innych podmiotów gospodarczych. Poprawa wdrażania niektórych wymagań SUD, na przykład w odniesieniu do sprzętu do aplikacji pestycydów, lub nowe wymogi sprawozdawcze, na przykład dotyczące IPM, mogłyby zwiększyć obciążenia administracyjne dla operatorów. Zostaną zbadane sposoby zminimalizowania obciążenia administracyjnego. Oczekuje się również, że istnieją kompromisy między obciążeniami administracyjnymi dla operatorów a pozytywnymi korzyściami zdrowotnymi i środowiskowymi, które zostaną uwzględnione w analizie.</w:t>
            </w:r>
          </w:p>
        </w:tc>
      </w:tr>
      <w:tr w:rsidR="006539B7" w:rsidTr="00E77447">
        <w:tc>
          <w:tcPr>
            <w:tcW w:w="9288" w:type="dxa"/>
            <w:gridSpan w:val="2"/>
            <w:shd w:val="clear" w:color="auto" w:fill="C6D9F1" w:themeFill="text2" w:themeFillTint="33"/>
          </w:tcPr>
          <w:p w:rsidR="006539B7" w:rsidRDefault="00AF6F10">
            <w:r w:rsidRPr="00AF6F10">
              <w:t>D. Baza dowodów, gromadzenie danych i instrumenty lepszego stanowienia prawa</w:t>
            </w:r>
          </w:p>
        </w:tc>
      </w:tr>
      <w:tr w:rsidR="006539B7" w:rsidTr="00E77447">
        <w:tc>
          <w:tcPr>
            <w:tcW w:w="9288" w:type="dxa"/>
            <w:gridSpan w:val="2"/>
          </w:tcPr>
          <w:p w:rsidR="006539B7" w:rsidRDefault="00AF6F10">
            <w:r w:rsidRPr="00AF6F10">
              <w:lastRenderedPageBreak/>
              <w:t>Ocena wpływu</w:t>
            </w:r>
          </w:p>
        </w:tc>
      </w:tr>
      <w:tr w:rsidR="006539B7" w:rsidTr="00E77447">
        <w:tc>
          <w:tcPr>
            <w:tcW w:w="9288" w:type="dxa"/>
            <w:gridSpan w:val="2"/>
          </w:tcPr>
          <w:p w:rsidR="00AF6F10" w:rsidRDefault="00AF6F10" w:rsidP="00E77447">
            <w:pPr>
              <w:jc w:val="both"/>
            </w:pPr>
            <w:r>
              <w:t xml:space="preserve">Ocena skutków będzie opierać się na wstępnych wynikach oceny w celu oceny wpływu ekonomicznego, środowiskowego i społecznego proponowanych środków w ramach każdej z rozważanych opcji politycznych w celu znacznego ograniczenia stosowania i ryzyka stosowania pestycydów, w ramach zobowiązania Komisji Europejskiej do europejska zielona umowa i strategia „od </w:t>
            </w:r>
            <w:proofErr w:type="spellStart"/>
            <w:r>
              <w:t>rolnictwa</w:t>
            </w:r>
            <w:proofErr w:type="spellEnd"/>
            <w:r>
              <w:t xml:space="preserve"> do stołu” na rzecz zrównoważonej żywności. Opcje rozważane w ocenie skutków powinny być spójne z wynikami niedawnej oceny prawodawstwa UE dotyczącego środków ochrony roślin i pozostałości pestycydów oraz powinny uwzględniać wszelkie obecne nieuczciwą konkurencję i przeszkody w prawidłowym funkcjonowaniu jednolitego rynku.</w:t>
            </w:r>
          </w:p>
          <w:p w:rsidR="006539B7" w:rsidRDefault="00AF6F10" w:rsidP="00E77447">
            <w:pPr>
              <w:jc w:val="both"/>
            </w:pPr>
            <w:r>
              <w:t>Przeprowadzając analizę skutków dla wszystkich zaangażowanych grup zainteresowanych stron (np. Użytkowników pestycydów, właściwych organów krajowych i lokalnych, obywateli UE itp.), Ocena skutków najlepiej wykorzysta wszystkie dostępne narzędzia lepszego stanowienia prawa.</w:t>
            </w:r>
          </w:p>
        </w:tc>
      </w:tr>
      <w:tr w:rsidR="006539B7" w:rsidTr="00E77447">
        <w:tc>
          <w:tcPr>
            <w:tcW w:w="9288" w:type="dxa"/>
            <w:gridSpan w:val="2"/>
          </w:tcPr>
          <w:p w:rsidR="006539B7" w:rsidRDefault="008110D5">
            <w:r w:rsidRPr="008110D5">
              <w:t>Baza dowodów i gromadzenie danych</w:t>
            </w:r>
          </w:p>
        </w:tc>
      </w:tr>
      <w:tr w:rsidR="006539B7" w:rsidTr="00E77447">
        <w:tc>
          <w:tcPr>
            <w:tcW w:w="9288" w:type="dxa"/>
            <w:gridSpan w:val="2"/>
          </w:tcPr>
          <w:p w:rsidR="008110D5" w:rsidRDefault="008110D5" w:rsidP="008110D5">
            <w:r>
              <w:t>Ocena i ocena wpływu będą wspierane przez zewnętrzne badanie, które obejmie działania konsultacyjne i zbierz niezbędne dane i informacje. Analiza uwzględni jakościowe i ilościowe dowody uzyskane przez służby Komisji oraz poprzez konsultacje z zainteresowanymi stronami, badania dokumentacji i przegląd literatury. Początkowa lista źródeł, które będą wspierać analizę, obejmuje:</w:t>
            </w:r>
          </w:p>
          <w:p w:rsidR="008110D5" w:rsidRDefault="008110D5" w:rsidP="00E77447">
            <w:pPr>
              <w:pStyle w:val="Akapitzlist"/>
              <w:numPr>
                <w:ilvl w:val="0"/>
                <w:numId w:val="7"/>
              </w:numPr>
              <w:jc w:val="both"/>
            </w:pPr>
            <w:r>
              <w:t>Audyty i prace wyjaśniające przeprowadzone przez DG ds. Zdrowia i Bezpieczeństwa Żywności, w tym dotyczące wdrażania krajowych planów działania państw członkowskich w ramach SUD.</w:t>
            </w:r>
          </w:p>
          <w:p w:rsidR="008110D5" w:rsidRDefault="008110D5" w:rsidP="00E77447">
            <w:pPr>
              <w:pStyle w:val="Akapitzlist"/>
              <w:numPr>
                <w:ilvl w:val="0"/>
                <w:numId w:val="7"/>
              </w:numPr>
              <w:jc w:val="both"/>
            </w:pPr>
            <w:r>
              <w:t>Ostatnia ocena przepisów dotyczących pozostałości pestycydów i wprowadzania do obrotu środków ochrony roślin.</w:t>
            </w:r>
          </w:p>
          <w:p w:rsidR="008110D5" w:rsidRDefault="008110D5" w:rsidP="00E77447">
            <w:pPr>
              <w:pStyle w:val="Akapitzlist"/>
              <w:numPr>
                <w:ilvl w:val="0"/>
                <w:numId w:val="7"/>
              </w:numPr>
              <w:jc w:val="both"/>
            </w:pPr>
            <w:r>
              <w:t>Sprawozdanie Parlamentu Europejskiego z wdrażania SUD.</w:t>
            </w:r>
          </w:p>
          <w:p w:rsidR="008110D5" w:rsidRDefault="008110D5" w:rsidP="00E77447">
            <w:pPr>
              <w:pStyle w:val="Akapitzlist"/>
              <w:numPr>
                <w:ilvl w:val="0"/>
                <w:numId w:val="7"/>
              </w:numPr>
              <w:jc w:val="both"/>
            </w:pPr>
            <w:r>
              <w:t>Sprawozdanie Komisji dla Parlamentu Europejskiego i Rady z 2017 r. W sprawie krajowych planów działania państw członkowskich oraz postępów we wdrażaniu dyrektywy 2009/128 / WE w sprawie zrównoważonego stosowania pestycydów.</w:t>
            </w:r>
          </w:p>
          <w:p w:rsidR="008110D5" w:rsidRDefault="008110D5" w:rsidP="00E77447">
            <w:pPr>
              <w:pStyle w:val="Akapitzlist"/>
              <w:numPr>
                <w:ilvl w:val="0"/>
                <w:numId w:val="7"/>
              </w:numPr>
              <w:jc w:val="both"/>
            </w:pPr>
            <w:r>
              <w:t>Drugie sprawozdanie Komisji dla Parlamentu Europejskiego i Rady na temat doświadczeń zdobytych przez państwa członkowskie w zakresie wdrażania krajowych celów określonych w krajowych planach działania oraz postępów we wdrażaniu dyrektywy 2009/128 / WE w sprawie zrównoważonego użytkowania pestycydów.</w:t>
            </w:r>
          </w:p>
          <w:p w:rsidR="008110D5" w:rsidRDefault="008110D5" w:rsidP="00E77447">
            <w:pPr>
              <w:pStyle w:val="Akapitzlist"/>
              <w:numPr>
                <w:ilvl w:val="0"/>
                <w:numId w:val="7"/>
              </w:numPr>
              <w:jc w:val="both"/>
            </w:pPr>
            <w:r>
              <w:t>Sprawozdanie Europejskiego Trybunału Obrachunkowego na temat zrównoważonego stosowania środków ochrony roślin.</w:t>
            </w:r>
          </w:p>
          <w:p w:rsidR="008110D5" w:rsidRDefault="008110D5" w:rsidP="00E77447">
            <w:pPr>
              <w:pStyle w:val="Akapitzlist"/>
              <w:numPr>
                <w:ilvl w:val="0"/>
                <w:numId w:val="7"/>
              </w:numPr>
              <w:jc w:val="both"/>
            </w:pPr>
            <w:r>
              <w:t>Ocena skutków towarzysząca „Strategii tematycznej w sprawie zrównoważonego stosowania pestycydów” Komisji Europejskiej w 2006 r.</w:t>
            </w:r>
          </w:p>
          <w:p w:rsidR="008110D5" w:rsidRDefault="008110D5" w:rsidP="00E77447">
            <w:pPr>
              <w:pStyle w:val="Akapitzlist"/>
              <w:numPr>
                <w:ilvl w:val="0"/>
                <w:numId w:val="7"/>
              </w:numPr>
              <w:jc w:val="both"/>
            </w:pPr>
            <w:r>
              <w:t>Strategia Komisji Europejskiej w zakresie statystyki rolnej na rok 2020 i dalsze lata oraz kolejne potencjalne scenariusze.</w:t>
            </w:r>
          </w:p>
          <w:p w:rsidR="008110D5" w:rsidRDefault="008110D5" w:rsidP="00E77447">
            <w:pPr>
              <w:pStyle w:val="Akapitzlist"/>
              <w:numPr>
                <w:ilvl w:val="0"/>
                <w:numId w:val="7"/>
              </w:numPr>
              <w:jc w:val="both"/>
            </w:pPr>
            <w:r>
              <w:t>Dostępne statystyki dotyczące pestycydów, w tym dane zebrane na podstawie rozporządzenia (WE) nr 1185/2009.</w:t>
            </w:r>
          </w:p>
          <w:p w:rsidR="008110D5" w:rsidRDefault="008110D5" w:rsidP="00E77447">
            <w:pPr>
              <w:pStyle w:val="Akapitzlist"/>
              <w:numPr>
                <w:ilvl w:val="0"/>
                <w:numId w:val="7"/>
              </w:numPr>
              <w:jc w:val="both"/>
            </w:pPr>
            <w:r>
              <w:t>Krajowe plany działania przedłożone Komisji przez państwa członkowskie UE.</w:t>
            </w:r>
          </w:p>
          <w:p w:rsidR="006539B7" w:rsidRDefault="008110D5" w:rsidP="00E77447">
            <w:pPr>
              <w:jc w:val="both"/>
            </w:pPr>
            <w:r>
              <w:t>Powyższa lista nie jest wyczerpująca i podczas analizy będą poszukiwane dodatkowe źródła. Wykorzystane zostaną dane i wyniki modelowania dotyczące wpływu ograniczenia stosowania pestycydów ze Wspólnego Centrum Badawczego Komisji i Dyrekcji Generalnej ds. Rolnictwa i Rozwoju Obszarów Wiejskich, a także ewentualna kwantyfikacja dodatkowych korzyści zdrowotnych i ich skutków ekonomicznych.</w:t>
            </w:r>
          </w:p>
          <w:p w:rsidR="008110D5" w:rsidRDefault="008110D5" w:rsidP="00E77447">
            <w:pPr>
              <w:jc w:val="both"/>
            </w:pPr>
            <w:r>
              <w:t>Metodologia zastosowana w ocenie / ocenie wpływu będzie zgodna z wytycznymi zawartymi w Wytycznych w sprawie lepszego stanowienia prawa i zestawie narzędzi. Na przykład zostanie przeprowadzone mapowanie i klasyfikacja kosztów i korzyści związanych z SUD. Zidentyfikowane koszty i korzyści, a także wpływ na obciążenie administracyjne, zostaną skwantyfikowane w możliwym zakresie, na podstawie danych i informacji zebranych w drodze badań dokumentacji i konsultacji z zainteresowanymi stronami. Najistotniejsze skutki środowiskowe, społeczne i ekonomiczne rozważanych wariantów przeglądu SUD zostaną ocenione i porównane.</w:t>
            </w:r>
          </w:p>
          <w:p w:rsidR="008110D5" w:rsidRDefault="008110D5" w:rsidP="008110D5">
            <w:r>
              <w:lastRenderedPageBreak/>
              <w:t>Wszystkie zainteresowane służby Komisji zajmujące się rolnictwem, środowiskiem, badaniami, przemysłem, bezpieczeństwem pracowników itp. Zostaną zaangażowane w międzyresortową grupę sterującą w celu wsparcia całego procesu oceny i oceny wpływu.</w:t>
            </w:r>
          </w:p>
        </w:tc>
      </w:tr>
      <w:tr w:rsidR="006539B7" w:rsidTr="00E77447">
        <w:tc>
          <w:tcPr>
            <w:tcW w:w="9288" w:type="dxa"/>
            <w:gridSpan w:val="2"/>
          </w:tcPr>
          <w:p w:rsidR="006539B7" w:rsidRDefault="008110D5">
            <w:r w:rsidRPr="008110D5">
              <w:lastRenderedPageBreak/>
              <w:t>Strategia konsultacji</w:t>
            </w:r>
          </w:p>
        </w:tc>
      </w:tr>
      <w:tr w:rsidR="006539B7" w:rsidTr="00E77447">
        <w:tc>
          <w:tcPr>
            <w:tcW w:w="9288" w:type="dxa"/>
            <w:gridSpan w:val="2"/>
          </w:tcPr>
          <w:p w:rsidR="008110D5" w:rsidRDefault="008110D5" w:rsidP="00E77447">
            <w:pPr>
              <w:jc w:val="both"/>
            </w:pPr>
            <w:r>
              <w:t>Komisja zaangażuje wszystkie odpowiednie zainteresowane strony poprzez publiczne i ukierunkowane konsultacje w celu gromadzenia danych i zasięgania ich opinii. Odpowiednimi zainteresowanymi stronami, z którymi zostaną przeprowadzone konsultacje, są między innymi rolnicy, organizacje pozarządowe zajmujące się zdrowiem i ochroną środowiska, profesjonalne stowarzyszenia reprezentujące przemysł i podmioty gospodarcze w odpowiednich sektorach (np. Pszczelarze, przemysł chemiczny, sprzęt do stosowania pestycydów i przemysł nasienny itp.), Stowarzyszenia konsumenckie, Obywatele UE, właściwe organy krajowe i eksperci naukowi. Z zainteresowanymi stronami zostaną przeprowadzone konsultacje na temat osiągnięć SUD, problemów związanych z wdrażaniem i stosowaniem oraz ich przyczynami, a także na temat możliwych działań i ich skutków.</w:t>
            </w:r>
          </w:p>
          <w:p w:rsidR="008110D5" w:rsidRDefault="008110D5" w:rsidP="00E77447">
            <w:pPr>
              <w:jc w:val="both"/>
            </w:pPr>
            <w:r>
              <w:t>Podjęty zostanie szeroko zakrojony proces konsultacji obejmujący następujące działania:</w:t>
            </w:r>
          </w:p>
          <w:p w:rsidR="008110D5" w:rsidRDefault="008110D5" w:rsidP="00E77447">
            <w:pPr>
              <w:jc w:val="both"/>
            </w:pPr>
            <w:r>
              <w:t> 12-tygodniowe internetowe konsultacje oparte na kwestionariuszu zostaną opublikowane na stronie Komisji „Wypowiedz się”, spodziewanej w czwartym kwartale 2020 r. Będzie ono dostępne we wszystkich językach urzędowych UE i da każdej zainteresowanej stronie możliwość wniesienia wkładu .</w:t>
            </w:r>
          </w:p>
          <w:p w:rsidR="008110D5" w:rsidRDefault="008110D5" w:rsidP="00E77447">
            <w:pPr>
              <w:pStyle w:val="Akapitzlist"/>
              <w:numPr>
                <w:ilvl w:val="0"/>
                <w:numId w:val="7"/>
              </w:numPr>
              <w:jc w:val="both"/>
            </w:pPr>
            <w:r>
              <w:t>Zestaw ukierunkowanych konsultacji, w tym ankiety, wywiady i studia przypadków, zostanie przeprowadzony z zainteresowanymi stronami w kontekście zewnętrznego badania przeprowadzonego przez konsultanta.</w:t>
            </w:r>
          </w:p>
          <w:p w:rsidR="008110D5" w:rsidRDefault="008110D5" w:rsidP="00E77447">
            <w:pPr>
              <w:pStyle w:val="Akapitzlist"/>
              <w:numPr>
                <w:ilvl w:val="0"/>
                <w:numId w:val="7"/>
              </w:numPr>
              <w:jc w:val="both"/>
            </w:pPr>
            <w:r>
              <w:t>Podczas oceny i oceny wpływu można również organizować wydarzenia z zainteresowanymi stronami (np. Konferencja / warsztaty / seminarium) w celu uzupełnienia procesu i zapewnienia włączenia wszystkich zainteresowanych stron.</w:t>
            </w:r>
          </w:p>
          <w:p w:rsidR="006539B7" w:rsidRDefault="008110D5" w:rsidP="00E77447">
            <w:pPr>
              <w:jc w:val="both"/>
            </w:pPr>
            <w:r>
              <w:t>Raport podsumowujący wyniki wszystkich działań konsultacyjnych zostanie opublikowany na stronie konsultacji po zamknięciu wszystkich działań konsultacyjnych.</w:t>
            </w:r>
          </w:p>
        </w:tc>
      </w:tr>
      <w:tr w:rsidR="006539B7" w:rsidTr="00E77447">
        <w:tc>
          <w:tcPr>
            <w:tcW w:w="9288" w:type="dxa"/>
            <w:gridSpan w:val="2"/>
          </w:tcPr>
          <w:p w:rsidR="006539B7" w:rsidRDefault="008110D5">
            <w:r w:rsidRPr="008110D5">
              <w:t>Czy zostanie ustanowiony plan wdrożenia?</w:t>
            </w:r>
          </w:p>
        </w:tc>
      </w:tr>
      <w:tr w:rsidR="006539B7" w:rsidTr="00E77447">
        <w:tc>
          <w:tcPr>
            <w:tcW w:w="9288" w:type="dxa"/>
            <w:gridSpan w:val="2"/>
          </w:tcPr>
          <w:p w:rsidR="006539B7" w:rsidRDefault="008110D5">
            <w:r w:rsidRPr="008110D5">
              <w:t>Opracowanie planu wdrożenia, czy nie, będzie zależeć od wybranych ostatecznych opcji polityki.</w:t>
            </w:r>
          </w:p>
        </w:tc>
      </w:tr>
    </w:tbl>
    <w:p w:rsidR="008A6EB8" w:rsidRDefault="008A6EB8"/>
    <w:p w:rsidR="000B6AB1" w:rsidRDefault="000B6AB1">
      <w:r>
        <w:br w:type="page"/>
      </w:r>
    </w:p>
    <w:tbl>
      <w:tblPr>
        <w:tblStyle w:val="Tabela-Siatka"/>
        <w:tblW w:w="0" w:type="auto"/>
        <w:tblLook w:val="04A0"/>
      </w:tblPr>
      <w:tblGrid>
        <w:gridCol w:w="9212"/>
      </w:tblGrid>
      <w:tr w:rsidR="00E77447" w:rsidTr="00E77447">
        <w:tc>
          <w:tcPr>
            <w:tcW w:w="9212" w:type="dxa"/>
          </w:tcPr>
          <w:p w:rsidR="00E77447" w:rsidRPr="00B33B1A" w:rsidRDefault="00E77447">
            <w:pPr>
              <w:rPr>
                <w:rFonts w:ascii="Arial" w:hAnsi="Arial" w:cs="Arial"/>
                <w:b/>
                <w:sz w:val="28"/>
              </w:rPr>
            </w:pPr>
            <w:r w:rsidRPr="00B33B1A">
              <w:rPr>
                <w:rFonts w:ascii="Arial" w:hAnsi="Arial" w:cs="Arial"/>
                <w:b/>
                <w:sz w:val="28"/>
              </w:rPr>
              <w:lastRenderedPageBreak/>
              <w:t>Zasady zamieszczania opinii</w:t>
            </w:r>
          </w:p>
          <w:p w:rsidR="00E77447" w:rsidRPr="00B33B1A" w:rsidRDefault="00B33B1A">
            <w:pPr>
              <w:rPr>
                <w:rFonts w:ascii="Arial" w:hAnsi="Arial" w:cs="Arial"/>
              </w:rPr>
            </w:pPr>
            <w:r w:rsidRPr="00B33B1A">
              <w:rPr>
                <w:rFonts w:ascii="Arial" w:hAnsi="Arial" w:cs="Arial"/>
              </w:rPr>
              <w:t>Jakie treści nie będą akceptowane przy przekazywaniu opinii oraz w jaki sposób Komisja zapewnia ochronę danych i prywatności</w:t>
            </w:r>
          </w:p>
          <w:p w:rsidR="00B33B1A" w:rsidRPr="00B33B1A" w:rsidRDefault="00B33B1A"/>
        </w:tc>
      </w:tr>
    </w:tbl>
    <w:p w:rsidR="000B6AB1" w:rsidRPr="00E77447" w:rsidRDefault="000B6AB1" w:rsidP="000B6AB1">
      <w:pPr>
        <w:pStyle w:val="Nagwek2"/>
        <w:pBdr>
          <w:bottom w:val="single" w:sz="12" w:space="5" w:color="000000"/>
        </w:pBdr>
        <w:spacing w:before="0" w:beforeAutospacing="0" w:after="199" w:afterAutospacing="0"/>
        <w:rPr>
          <w:rFonts w:ascii="Arial" w:hAnsi="Arial" w:cs="Arial"/>
          <w:sz w:val="28"/>
        </w:rPr>
      </w:pPr>
      <w:r w:rsidRPr="00E77447">
        <w:rPr>
          <w:rFonts w:ascii="Arial" w:hAnsi="Arial" w:cs="Arial"/>
          <w:sz w:val="28"/>
        </w:rPr>
        <w:t>Przekazywanie uwag i propozycji</w:t>
      </w:r>
    </w:p>
    <w:p w:rsidR="000B6AB1" w:rsidRPr="00E77447" w:rsidRDefault="000B6AB1" w:rsidP="00E77447">
      <w:pPr>
        <w:pStyle w:val="ecl-u-type-paragraph"/>
        <w:jc w:val="both"/>
        <w:rPr>
          <w:rFonts w:ascii="Arial" w:hAnsi="Arial" w:cs="Arial"/>
        </w:rPr>
      </w:pPr>
      <w:r>
        <w:rPr>
          <w:rFonts w:ascii="Arial" w:hAnsi="Arial" w:cs="Arial"/>
        </w:rPr>
        <w:t>Na stronie tej obywatele i zainteresowane podmioty mogą wyrazić swoją opinię na temat inicjatyw ustawodawczych i tym samym zabrać głos w procesie decyzyjnym Unii Europejskiej. Uwagi i propozycje użytkowników są dla nas bardzo cenne. Niemniej jednak niektóre treści uważamy za nieodpowiednie:</w:t>
      </w:r>
    </w:p>
    <w:p w:rsidR="000B6AB1" w:rsidRPr="00E77447" w:rsidRDefault="000B6AB1" w:rsidP="00E77447">
      <w:pPr>
        <w:numPr>
          <w:ilvl w:val="0"/>
          <w:numId w:val="4"/>
        </w:numPr>
        <w:spacing w:after="0" w:line="240" w:lineRule="auto"/>
        <w:ind w:left="0"/>
        <w:jc w:val="both"/>
        <w:rPr>
          <w:rFonts w:ascii="Arial" w:hAnsi="Arial" w:cs="Arial"/>
          <w:color w:val="404040"/>
          <w:sz w:val="24"/>
          <w:szCs w:val="24"/>
        </w:rPr>
      </w:pPr>
      <w:r w:rsidRPr="00E77447">
        <w:rPr>
          <w:rFonts w:ascii="Arial" w:hAnsi="Arial" w:cs="Arial"/>
          <w:color w:val="404040"/>
          <w:sz w:val="24"/>
          <w:szCs w:val="24"/>
        </w:rPr>
        <w:t>treści obraźliwe, obsceniczne, wulgarne, oszczercze, nawołujące do nienawiści lub ksenofobii, zawierające groźby lub nacechowane seksualnie</w:t>
      </w:r>
    </w:p>
    <w:p w:rsidR="000B6AB1" w:rsidRPr="00E77447" w:rsidRDefault="000B6AB1" w:rsidP="00E77447">
      <w:pPr>
        <w:numPr>
          <w:ilvl w:val="0"/>
          <w:numId w:val="4"/>
        </w:numPr>
        <w:spacing w:before="100" w:beforeAutospacing="1" w:after="0" w:line="240" w:lineRule="auto"/>
        <w:ind w:left="0"/>
        <w:jc w:val="both"/>
        <w:rPr>
          <w:rFonts w:ascii="Arial" w:hAnsi="Arial" w:cs="Arial"/>
          <w:color w:val="404040"/>
          <w:sz w:val="24"/>
          <w:szCs w:val="24"/>
        </w:rPr>
      </w:pPr>
      <w:proofErr w:type="spellStart"/>
      <w:r w:rsidRPr="00E77447">
        <w:rPr>
          <w:rFonts w:ascii="Arial" w:hAnsi="Arial" w:cs="Arial"/>
          <w:color w:val="404040"/>
          <w:sz w:val="24"/>
          <w:szCs w:val="24"/>
        </w:rPr>
        <w:t>spamy</w:t>
      </w:r>
      <w:proofErr w:type="spellEnd"/>
      <w:r w:rsidRPr="00E77447">
        <w:rPr>
          <w:rFonts w:ascii="Arial" w:hAnsi="Arial" w:cs="Arial"/>
          <w:color w:val="404040"/>
          <w:sz w:val="24"/>
          <w:szCs w:val="24"/>
        </w:rPr>
        <w:t xml:space="preserve"> i reklamy strony internetowej lub produktu</w:t>
      </w:r>
    </w:p>
    <w:p w:rsidR="000B6AB1" w:rsidRPr="00E77447" w:rsidRDefault="000B6AB1" w:rsidP="00E77447">
      <w:pPr>
        <w:numPr>
          <w:ilvl w:val="0"/>
          <w:numId w:val="4"/>
        </w:numPr>
        <w:spacing w:before="100" w:beforeAutospacing="1" w:after="0" w:line="240" w:lineRule="auto"/>
        <w:ind w:left="0"/>
        <w:jc w:val="both"/>
        <w:rPr>
          <w:rFonts w:ascii="Arial" w:hAnsi="Arial" w:cs="Arial"/>
          <w:color w:val="404040"/>
          <w:sz w:val="24"/>
          <w:szCs w:val="24"/>
        </w:rPr>
      </w:pPr>
      <w:r w:rsidRPr="00E77447">
        <w:rPr>
          <w:rFonts w:ascii="Arial" w:hAnsi="Arial" w:cs="Arial"/>
          <w:color w:val="404040"/>
          <w:sz w:val="24"/>
          <w:szCs w:val="24"/>
        </w:rPr>
        <w:t>powielane treści – gdy ta sama treść została zamieszczona przez tego samego użytkownika więcej niż jeden raz</w:t>
      </w:r>
    </w:p>
    <w:p w:rsidR="000B6AB1" w:rsidRPr="00E77447" w:rsidRDefault="000B6AB1" w:rsidP="00E77447">
      <w:pPr>
        <w:numPr>
          <w:ilvl w:val="0"/>
          <w:numId w:val="4"/>
        </w:numPr>
        <w:spacing w:before="100" w:beforeAutospacing="1" w:after="0" w:line="240" w:lineRule="auto"/>
        <w:ind w:left="0"/>
        <w:jc w:val="both"/>
        <w:rPr>
          <w:rFonts w:ascii="Arial" w:hAnsi="Arial" w:cs="Arial"/>
          <w:color w:val="404040"/>
          <w:sz w:val="24"/>
          <w:szCs w:val="24"/>
        </w:rPr>
      </w:pPr>
      <w:r w:rsidRPr="00E77447">
        <w:rPr>
          <w:rFonts w:ascii="Arial" w:hAnsi="Arial" w:cs="Arial"/>
          <w:color w:val="404040"/>
          <w:sz w:val="24"/>
          <w:szCs w:val="24"/>
        </w:rPr>
        <w:t>uwagi nie mające związku z tematem i z proponowanymi przepisami</w:t>
      </w:r>
    </w:p>
    <w:p w:rsidR="000B6AB1" w:rsidRPr="00E77447" w:rsidRDefault="000B6AB1" w:rsidP="00E77447">
      <w:pPr>
        <w:numPr>
          <w:ilvl w:val="0"/>
          <w:numId w:val="4"/>
        </w:numPr>
        <w:spacing w:before="100" w:beforeAutospacing="1" w:after="0" w:line="240" w:lineRule="auto"/>
        <w:ind w:left="0"/>
        <w:jc w:val="both"/>
        <w:rPr>
          <w:rFonts w:ascii="Arial" w:hAnsi="Arial" w:cs="Arial"/>
          <w:color w:val="404040"/>
          <w:sz w:val="24"/>
          <w:szCs w:val="24"/>
        </w:rPr>
      </w:pPr>
      <w:r w:rsidRPr="00E77447">
        <w:rPr>
          <w:rFonts w:ascii="Arial" w:hAnsi="Arial" w:cs="Arial"/>
          <w:color w:val="404040"/>
          <w:sz w:val="24"/>
          <w:szCs w:val="24"/>
        </w:rPr>
        <w:t>treści odsyłające do nielegalnego lub pirackiego oprogramowania</w:t>
      </w:r>
    </w:p>
    <w:p w:rsidR="000B6AB1" w:rsidRPr="00E77447" w:rsidRDefault="000B6AB1" w:rsidP="00E77447">
      <w:pPr>
        <w:numPr>
          <w:ilvl w:val="0"/>
          <w:numId w:val="4"/>
        </w:numPr>
        <w:spacing w:before="100" w:beforeAutospacing="1" w:after="0" w:line="240" w:lineRule="auto"/>
        <w:ind w:left="0"/>
        <w:jc w:val="both"/>
        <w:rPr>
          <w:rFonts w:ascii="Arial" w:hAnsi="Arial" w:cs="Arial"/>
          <w:color w:val="404040"/>
          <w:sz w:val="24"/>
          <w:szCs w:val="24"/>
        </w:rPr>
      </w:pPr>
      <w:r w:rsidRPr="00E77447">
        <w:rPr>
          <w:rFonts w:ascii="Arial" w:hAnsi="Arial" w:cs="Arial"/>
          <w:color w:val="404040"/>
          <w:sz w:val="24"/>
          <w:szCs w:val="24"/>
        </w:rPr>
        <w:t>wszelkie inne treści zgłoszone jako nieodpowiednie przez użytkowników, jeśli zgłoszeniu towarzyszy racjonalne uzasadnienie.</w:t>
      </w:r>
    </w:p>
    <w:p w:rsidR="000B6AB1" w:rsidRDefault="000B6AB1" w:rsidP="00E77447">
      <w:pPr>
        <w:pStyle w:val="ecl-u-type-paragraph"/>
        <w:jc w:val="both"/>
        <w:rPr>
          <w:rFonts w:ascii="Arial" w:hAnsi="Arial" w:cs="Arial"/>
        </w:rPr>
      </w:pPr>
      <w:r w:rsidRPr="00E77447">
        <w:rPr>
          <w:rFonts w:ascii="Arial" w:hAnsi="Arial" w:cs="Arial"/>
        </w:rPr>
        <w:t>Uwagi i propozycje, których treść j</w:t>
      </w:r>
      <w:r>
        <w:rPr>
          <w:rFonts w:ascii="Arial" w:hAnsi="Arial" w:cs="Arial"/>
        </w:rPr>
        <w:t>est sprzeczna z powyższymi zasadami, zostaną usunięte ze strony.</w:t>
      </w:r>
    </w:p>
    <w:p w:rsidR="000B6AB1" w:rsidRDefault="000B6AB1" w:rsidP="000B6AB1">
      <w:pPr>
        <w:pStyle w:val="ecl-u-type-paragraph"/>
        <w:rPr>
          <w:rFonts w:ascii="Arial" w:hAnsi="Arial" w:cs="Arial"/>
        </w:rPr>
      </w:pPr>
      <w:r>
        <w:rPr>
          <w:rFonts w:ascii="Arial" w:hAnsi="Arial" w:cs="Arial"/>
        </w:rPr>
        <w:t>Wszelkie uwagi lub propozycje uznane za nieodpowiednie należy zgłaszać również przy pomocy służącego do tego formularza.</w:t>
      </w:r>
    </w:p>
    <w:p w:rsidR="000B6AB1" w:rsidRPr="00E77447" w:rsidRDefault="000B6AB1" w:rsidP="000B6AB1">
      <w:pPr>
        <w:pStyle w:val="Nagwek2"/>
        <w:pBdr>
          <w:bottom w:val="single" w:sz="12" w:space="5" w:color="000000"/>
        </w:pBdr>
        <w:spacing w:before="0" w:beforeAutospacing="0" w:after="199" w:afterAutospacing="0"/>
        <w:rPr>
          <w:rFonts w:ascii="Arial" w:hAnsi="Arial" w:cs="Arial"/>
          <w:sz w:val="28"/>
        </w:rPr>
      </w:pPr>
      <w:r w:rsidRPr="00E77447">
        <w:rPr>
          <w:rFonts w:ascii="Arial" w:hAnsi="Arial" w:cs="Arial"/>
          <w:sz w:val="28"/>
        </w:rPr>
        <w:t>Ostateczny termin nadsyłania opinii</w:t>
      </w:r>
    </w:p>
    <w:p w:rsidR="000B6AB1" w:rsidRDefault="000B6AB1" w:rsidP="000B6AB1">
      <w:pPr>
        <w:pStyle w:val="ecl-u-type-paragraph"/>
        <w:rPr>
          <w:rFonts w:ascii="Arial" w:hAnsi="Arial" w:cs="Arial"/>
        </w:rPr>
      </w:pPr>
      <w:r>
        <w:rPr>
          <w:rFonts w:ascii="Arial" w:hAnsi="Arial" w:cs="Arial"/>
        </w:rPr>
        <w:t>Opinie na temat inicjatyw Komisji Europejskiej można przesyłać do północy czasu brukselskiego w dniu, w którym upływa termin nadsyłania opinii.</w:t>
      </w:r>
    </w:p>
    <w:p w:rsidR="000B6AB1" w:rsidRPr="00E77447" w:rsidRDefault="000B6AB1" w:rsidP="000B6AB1">
      <w:pPr>
        <w:pStyle w:val="Nagwek2"/>
        <w:pBdr>
          <w:bottom w:val="single" w:sz="12" w:space="5" w:color="000000"/>
        </w:pBdr>
        <w:spacing w:before="0" w:beforeAutospacing="0" w:after="199" w:afterAutospacing="0"/>
        <w:rPr>
          <w:rFonts w:ascii="Arial" w:hAnsi="Arial" w:cs="Arial"/>
          <w:sz w:val="28"/>
        </w:rPr>
      </w:pPr>
      <w:r w:rsidRPr="00E77447">
        <w:rPr>
          <w:rFonts w:ascii="Arial" w:hAnsi="Arial" w:cs="Arial"/>
          <w:sz w:val="28"/>
        </w:rPr>
        <w:t>Dane i prywatność</w:t>
      </w:r>
    </w:p>
    <w:p w:rsidR="000B6AB1" w:rsidRDefault="000B6AB1" w:rsidP="000B6AB1">
      <w:pPr>
        <w:pStyle w:val="ecl-u-type-paragraph"/>
        <w:rPr>
          <w:rFonts w:ascii="Arial" w:hAnsi="Arial" w:cs="Arial"/>
        </w:rPr>
      </w:pPr>
      <w:r>
        <w:rPr>
          <w:rFonts w:ascii="Arial" w:hAnsi="Arial" w:cs="Arial"/>
        </w:rPr>
        <w:t xml:space="preserve">Komisja Europejska zapewnia ochronę danych osobowych podczas prowadzenia konsultacji </w:t>
      </w:r>
      <w:proofErr w:type="spellStart"/>
      <w:r>
        <w:rPr>
          <w:rFonts w:ascii="Arial" w:hAnsi="Arial" w:cs="Arial"/>
        </w:rPr>
        <w:t>online</w:t>
      </w:r>
      <w:proofErr w:type="spellEnd"/>
      <w:r>
        <w:rPr>
          <w:rFonts w:ascii="Arial" w:hAnsi="Arial" w:cs="Arial"/>
        </w:rPr>
        <w:t xml:space="preserve"> z obywatelami i zainteresowanymi stronami.</w:t>
      </w:r>
    </w:p>
    <w:p w:rsidR="000B6AB1" w:rsidRDefault="000B6AB1"/>
    <w:p w:rsidR="000B6AB1" w:rsidRPr="00982B5D" w:rsidRDefault="000B6AB1"/>
    <w:sectPr w:rsidR="000B6AB1" w:rsidRPr="00982B5D" w:rsidSect="004601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97D"/>
    <w:multiLevelType w:val="multilevel"/>
    <w:tmpl w:val="FCF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A4973"/>
    <w:multiLevelType w:val="hybridMultilevel"/>
    <w:tmpl w:val="F412F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5A57DD"/>
    <w:multiLevelType w:val="hybridMultilevel"/>
    <w:tmpl w:val="C11CF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413E09"/>
    <w:multiLevelType w:val="hybridMultilevel"/>
    <w:tmpl w:val="392CE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0D0549"/>
    <w:multiLevelType w:val="hybridMultilevel"/>
    <w:tmpl w:val="5380D44E"/>
    <w:lvl w:ilvl="0" w:tplc="361EAF5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225286"/>
    <w:multiLevelType w:val="hybridMultilevel"/>
    <w:tmpl w:val="34FE8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922244"/>
    <w:multiLevelType w:val="hybridMultilevel"/>
    <w:tmpl w:val="601A3A3E"/>
    <w:lvl w:ilvl="0" w:tplc="361EAF5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815D7D"/>
    <w:multiLevelType w:val="hybridMultilevel"/>
    <w:tmpl w:val="9794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542482F"/>
    <w:multiLevelType w:val="hybridMultilevel"/>
    <w:tmpl w:val="E5127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56029E"/>
    <w:multiLevelType w:val="multilevel"/>
    <w:tmpl w:val="1E0E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9"/>
    <w:lvlOverride w:ilvl="0">
      <w:lvl w:ilvl="0">
        <w:numFmt w:val="bullet"/>
        <w:lvlText w:val=""/>
        <w:lvlJc w:val="left"/>
        <w:pPr>
          <w:tabs>
            <w:tab w:val="num" w:pos="720"/>
          </w:tabs>
          <w:ind w:left="720" w:hanging="360"/>
        </w:pPr>
        <w:rPr>
          <w:rFonts w:ascii="Symbol" w:hAnsi="Symbol" w:hint="default"/>
          <w:sz w:val="20"/>
        </w:rPr>
      </w:lvl>
    </w:lvlOverride>
  </w:num>
  <w:num w:numId="5">
    <w:abstractNumId w:val="6"/>
  </w:num>
  <w:num w:numId="6">
    <w:abstractNumId w:val="5"/>
  </w:num>
  <w:num w:numId="7">
    <w:abstractNumId w:val="2"/>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82B5D"/>
    <w:rsid w:val="00073045"/>
    <w:rsid w:val="000B6AB1"/>
    <w:rsid w:val="0020119F"/>
    <w:rsid w:val="003A0441"/>
    <w:rsid w:val="003A25F4"/>
    <w:rsid w:val="004601FD"/>
    <w:rsid w:val="006539B7"/>
    <w:rsid w:val="008110D5"/>
    <w:rsid w:val="00825E96"/>
    <w:rsid w:val="008A6EB8"/>
    <w:rsid w:val="00900CF8"/>
    <w:rsid w:val="00982B5D"/>
    <w:rsid w:val="00AA4370"/>
    <w:rsid w:val="00AB7D1E"/>
    <w:rsid w:val="00AF6F10"/>
    <w:rsid w:val="00B33B1A"/>
    <w:rsid w:val="00E36A35"/>
    <w:rsid w:val="00E77447"/>
    <w:rsid w:val="00E83C38"/>
    <w:rsid w:val="00F47EE1"/>
    <w:rsid w:val="00F50F49"/>
    <w:rsid w:val="00FE74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FD"/>
  </w:style>
  <w:style w:type="paragraph" w:styleId="Nagwek1">
    <w:name w:val="heading 1"/>
    <w:basedOn w:val="Normalny"/>
    <w:next w:val="Normalny"/>
    <w:link w:val="Nagwek1Znak"/>
    <w:uiPriority w:val="9"/>
    <w:qFormat/>
    <w:rsid w:val="00811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982B5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82B5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82B5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82B5D"/>
    <w:rPr>
      <w:rFonts w:ascii="Times New Roman" w:eastAsia="Times New Roman" w:hAnsi="Times New Roman" w:cs="Times New Roman"/>
      <w:b/>
      <w:bCs/>
      <w:sz w:val="27"/>
      <w:szCs w:val="27"/>
      <w:lang w:eastAsia="pl-PL"/>
    </w:rPr>
  </w:style>
  <w:style w:type="character" w:customStyle="1" w:styleId="label">
    <w:name w:val="label"/>
    <w:basedOn w:val="Domylnaczcionkaakapitu"/>
    <w:rsid w:val="00982B5D"/>
  </w:style>
  <w:style w:type="character" w:styleId="Hipercze">
    <w:name w:val="Hyperlink"/>
    <w:basedOn w:val="Domylnaczcionkaakapitu"/>
    <w:uiPriority w:val="99"/>
    <w:unhideWhenUsed/>
    <w:rsid w:val="00982B5D"/>
    <w:rPr>
      <w:color w:val="0000FF"/>
      <w:u w:val="single"/>
    </w:rPr>
  </w:style>
  <w:style w:type="character" w:customStyle="1" w:styleId="ecl-u-type-capitalize">
    <w:name w:val="ecl-u-type-capitalize"/>
    <w:basedOn w:val="Domylnaczcionkaakapitu"/>
    <w:rsid w:val="00982B5D"/>
  </w:style>
  <w:style w:type="character" w:styleId="Pogrubienie">
    <w:name w:val="Strong"/>
    <w:basedOn w:val="Domylnaczcionkaakapitu"/>
    <w:uiPriority w:val="22"/>
    <w:qFormat/>
    <w:rsid w:val="00982B5D"/>
    <w:rPr>
      <w:b/>
      <w:bCs/>
    </w:rPr>
  </w:style>
  <w:style w:type="table" w:styleId="Tabela-Siatka">
    <w:name w:val="Table Grid"/>
    <w:basedOn w:val="Standardowy"/>
    <w:uiPriority w:val="59"/>
    <w:rsid w:val="008A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EB8"/>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6539B7"/>
    <w:pPr>
      <w:ind w:left="720"/>
      <w:contextualSpacing/>
    </w:pPr>
  </w:style>
  <w:style w:type="character" w:customStyle="1" w:styleId="Nagwek1Znak">
    <w:name w:val="Nagłówek 1 Znak"/>
    <w:basedOn w:val="Domylnaczcionkaakapitu"/>
    <w:link w:val="Nagwek1"/>
    <w:uiPriority w:val="9"/>
    <w:rsid w:val="008110D5"/>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semiHidden/>
    <w:unhideWhenUsed/>
    <w:rsid w:val="008110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cl-buttonlabel">
    <w:name w:val="ecl-button__label"/>
    <w:basedOn w:val="Domylnaczcionkaakapitu"/>
    <w:rsid w:val="008110D5"/>
  </w:style>
  <w:style w:type="character" w:customStyle="1" w:styleId="ecl-linklabel">
    <w:name w:val="ecl-link__label"/>
    <w:basedOn w:val="Domylnaczcionkaakapitu"/>
    <w:rsid w:val="008110D5"/>
  </w:style>
  <w:style w:type="paragraph" w:customStyle="1" w:styleId="ecl-u-type-paragraph">
    <w:name w:val="ecl-u-type-paragraph"/>
    <w:basedOn w:val="Normalny"/>
    <w:rsid w:val="008110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cl-social-media-sharedescription">
    <w:name w:val="ecl-social-media-share__description"/>
    <w:basedOn w:val="Normalny"/>
    <w:rsid w:val="008110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50F49"/>
    <w:rPr>
      <w:color w:val="800080" w:themeColor="followedHyperlink"/>
      <w:u w:val="single"/>
    </w:rPr>
  </w:style>
  <w:style w:type="paragraph" w:customStyle="1" w:styleId="ecl-page-header-coredescription">
    <w:name w:val="ecl-page-header-core__description"/>
    <w:basedOn w:val="Normalny"/>
    <w:rsid w:val="000B6A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cl-inpage-navigationtrigger-current">
    <w:name w:val="ecl-inpage-navigation__trigger-current"/>
    <w:basedOn w:val="Domylnaczcionkaakapitu"/>
    <w:rsid w:val="000B6AB1"/>
  </w:style>
</w:styles>
</file>

<file path=word/webSettings.xml><?xml version="1.0" encoding="utf-8"?>
<w:webSettings xmlns:r="http://schemas.openxmlformats.org/officeDocument/2006/relationships" xmlns:w="http://schemas.openxmlformats.org/wordprocessingml/2006/main">
  <w:divs>
    <w:div w:id="45223457">
      <w:bodyDiv w:val="1"/>
      <w:marLeft w:val="0"/>
      <w:marRight w:val="0"/>
      <w:marTop w:val="0"/>
      <w:marBottom w:val="0"/>
      <w:divBdr>
        <w:top w:val="none" w:sz="0" w:space="0" w:color="auto"/>
        <w:left w:val="none" w:sz="0" w:space="0" w:color="auto"/>
        <w:bottom w:val="none" w:sz="0" w:space="0" w:color="auto"/>
        <w:right w:val="none" w:sz="0" w:space="0" w:color="auto"/>
      </w:divBdr>
      <w:divsChild>
        <w:div w:id="1921868927">
          <w:marLeft w:val="0"/>
          <w:marRight w:val="0"/>
          <w:marTop w:val="0"/>
          <w:marBottom w:val="0"/>
          <w:divBdr>
            <w:top w:val="none" w:sz="0" w:space="0" w:color="auto"/>
            <w:left w:val="none" w:sz="0" w:space="0" w:color="auto"/>
            <w:bottom w:val="none" w:sz="0" w:space="0" w:color="auto"/>
            <w:right w:val="none" w:sz="0" w:space="0" w:color="auto"/>
          </w:divBdr>
        </w:div>
        <w:div w:id="14114469">
          <w:marLeft w:val="0"/>
          <w:marRight w:val="0"/>
          <w:marTop w:val="0"/>
          <w:marBottom w:val="0"/>
          <w:divBdr>
            <w:top w:val="none" w:sz="0" w:space="0" w:color="auto"/>
            <w:left w:val="none" w:sz="0" w:space="0" w:color="auto"/>
            <w:bottom w:val="none" w:sz="0" w:space="0" w:color="auto"/>
            <w:right w:val="none" w:sz="0" w:space="0" w:color="auto"/>
          </w:divBdr>
        </w:div>
        <w:div w:id="19941489">
          <w:marLeft w:val="0"/>
          <w:marRight w:val="0"/>
          <w:marTop w:val="0"/>
          <w:marBottom w:val="0"/>
          <w:divBdr>
            <w:top w:val="none" w:sz="0" w:space="0" w:color="auto"/>
            <w:left w:val="none" w:sz="0" w:space="0" w:color="auto"/>
            <w:bottom w:val="none" w:sz="0" w:space="0" w:color="auto"/>
            <w:right w:val="none" w:sz="0" w:space="0" w:color="auto"/>
          </w:divBdr>
        </w:div>
        <w:div w:id="574437249">
          <w:marLeft w:val="0"/>
          <w:marRight w:val="0"/>
          <w:marTop w:val="0"/>
          <w:marBottom w:val="0"/>
          <w:divBdr>
            <w:top w:val="none" w:sz="0" w:space="0" w:color="auto"/>
            <w:left w:val="none" w:sz="0" w:space="0" w:color="auto"/>
            <w:bottom w:val="none" w:sz="0" w:space="0" w:color="auto"/>
            <w:right w:val="none" w:sz="0" w:space="0" w:color="auto"/>
          </w:divBdr>
        </w:div>
        <w:div w:id="1431199948">
          <w:marLeft w:val="0"/>
          <w:marRight w:val="0"/>
          <w:marTop w:val="0"/>
          <w:marBottom w:val="0"/>
          <w:divBdr>
            <w:top w:val="none" w:sz="0" w:space="0" w:color="auto"/>
            <w:left w:val="none" w:sz="0" w:space="0" w:color="auto"/>
            <w:bottom w:val="none" w:sz="0" w:space="0" w:color="auto"/>
            <w:right w:val="none" w:sz="0" w:space="0" w:color="auto"/>
          </w:divBdr>
        </w:div>
        <w:div w:id="517428847">
          <w:marLeft w:val="0"/>
          <w:marRight w:val="0"/>
          <w:marTop w:val="0"/>
          <w:marBottom w:val="0"/>
          <w:divBdr>
            <w:top w:val="none" w:sz="0" w:space="0" w:color="auto"/>
            <w:left w:val="none" w:sz="0" w:space="0" w:color="auto"/>
            <w:bottom w:val="none" w:sz="0" w:space="0" w:color="auto"/>
            <w:right w:val="none" w:sz="0" w:space="0" w:color="auto"/>
          </w:divBdr>
        </w:div>
      </w:divsChild>
    </w:div>
    <w:div w:id="1273980237">
      <w:bodyDiv w:val="1"/>
      <w:marLeft w:val="0"/>
      <w:marRight w:val="0"/>
      <w:marTop w:val="0"/>
      <w:marBottom w:val="0"/>
      <w:divBdr>
        <w:top w:val="none" w:sz="0" w:space="0" w:color="auto"/>
        <w:left w:val="none" w:sz="0" w:space="0" w:color="auto"/>
        <w:bottom w:val="none" w:sz="0" w:space="0" w:color="auto"/>
        <w:right w:val="none" w:sz="0" w:space="0" w:color="auto"/>
      </w:divBdr>
      <w:divsChild>
        <w:div w:id="1708069930">
          <w:marLeft w:val="0"/>
          <w:marRight w:val="0"/>
          <w:marTop w:val="0"/>
          <w:marBottom w:val="0"/>
          <w:divBdr>
            <w:top w:val="none" w:sz="0" w:space="0" w:color="auto"/>
            <w:left w:val="none" w:sz="0" w:space="0" w:color="auto"/>
            <w:bottom w:val="none" w:sz="0" w:space="0" w:color="auto"/>
            <w:right w:val="none" w:sz="0" w:space="0" w:color="auto"/>
          </w:divBdr>
          <w:divsChild>
            <w:div w:id="1578321220">
              <w:marLeft w:val="0"/>
              <w:marRight w:val="0"/>
              <w:marTop w:val="0"/>
              <w:marBottom w:val="0"/>
              <w:divBdr>
                <w:top w:val="none" w:sz="0" w:space="0" w:color="auto"/>
                <w:left w:val="none" w:sz="0" w:space="0" w:color="auto"/>
                <w:bottom w:val="none" w:sz="0" w:space="0" w:color="auto"/>
                <w:right w:val="none" w:sz="0" w:space="0" w:color="auto"/>
              </w:divBdr>
              <w:divsChild>
                <w:div w:id="1782340163">
                  <w:marLeft w:val="0"/>
                  <w:marRight w:val="0"/>
                  <w:marTop w:val="0"/>
                  <w:marBottom w:val="0"/>
                  <w:divBdr>
                    <w:top w:val="none" w:sz="0" w:space="0" w:color="auto"/>
                    <w:left w:val="none" w:sz="0" w:space="0" w:color="auto"/>
                    <w:bottom w:val="none" w:sz="0" w:space="0" w:color="auto"/>
                    <w:right w:val="none" w:sz="0" w:space="0" w:color="auto"/>
                  </w:divBdr>
                  <w:divsChild>
                    <w:div w:id="670524953">
                      <w:marLeft w:val="0"/>
                      <w:marRight w:val="0"/>
                      <w:marTop w:val="0"/>
                      <w:marBottom w:val="0"/>
                      <w:divBdr>
                        <w:top w:val="none" w:sz="0" w:space="0" w:color="auto"/>
                        <w:left w:val="none" w:sz="0" w:space="0" w:color="auto"/>
                        <w:bottom w:val="none" w:sz="0" w:space="0" w:color="auto"/>
                        <w:right w:val="none" w:sz="0" w:space="0" w:color="auto"/>
                      </w:divBdr>
                      <w:divsChild>
                        <w:div w:id="1406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6901">
          <w:marLeft w:val="0"/>
          <w:marRight w:val="0"/>
          <w:marTop w:val="0"/>
          <w:marBottom w:val="0"/>
          <w:divBdr>
            <w:top w:val="none" w:sz="0" w:space="0" w:color="auto"/>
            <w:left w:val="none" w:sz="0" w:space="0" w:color="auto"/>
            <w:bottom w:val="none" w:sz="0" w:space="0" w:color="auto"/>
            <w:right w:val="none" w:sz="0" w:space="0" w:color="auto"/>
          </w:divBdr>
          <w:divsChild>
            <w:div w:id="1044795692">
              <w:marLeft w:val="0"/>
              <w:marRight w:val="0"/>
              <w:marTop w:val="0"/>
              <w:marBottom w:val="0"/>
              <w:divBdr>
                <w:top w:val="none" w:sz="0" w:space="0" w:color="auto"/>
                <w:left w:val="none" w:sz="0" w:space="0" w:color="auto"/>
                <w:bottom w:val="none" w:sz="0" w:space="0" w:color="auto"/>
                <w:right w:val="none" w:sz="0" w:space="0" w:color="auto"/>
              </w:divBdr>
              <w:divsChild>
                <w:div w:id="1909999963">
                  <w:marLeft w:val="0"/>
                  <w:marRight w:val="0"/>
                  <w:marTop w:val="0"/>
                  <w:marBottom w:val="0"/>
                  <w:divBdr>
                    <w:top w:val="none" w:sz="0" w:space="0" w:color="auto"/>
                    <w:left w:val="none" w:sz="0" w:space="0" w:color="auto"/>
                    <w:bottom w:val="none" w:sz="0" w:space="0" w:color="auto"/>
                    <w:right w:val="none" w:sz="0" w:space="0" w:color="auto"/>
                  </w:divBdr>
                  <w:divsChild>
                    <w:div w:id="918514546">
                      <w:marLeft w:val="0"/>
                      <w:marRight w:val="0"/>
                      <w:marTop w:val="0"/>
                      <w:marBottom w:val="0"/>
                      <w:divBdr>
                        <w:top w:val="none" w:sz="0" w:space="0" w:color="auto"/>
                        <w:left w:val="none" w:sz="0" w:space="0" w:color="auto"/>
                        <w:bottom w:val="none" w:sz="0" w:space="0" w:color="auto"/>
                        <w:right w:val="none" w:sz="0" w:space="0" w:color="auto"/>
                      </w:divBdr>
                      <w:divsChild>
                        <w:div w:id="224072582">
                          <w:marLeft w:val="0"/>
                          <w:marRight w:val="0"/>
                          <w:marTop w:val="0"/>
                          <w:marBottom w:val="0"/>
                          <w:divBdr>
                            <w:top w:val="none" w:sz="0" w:space="0" w:color="auto"/>
                            <w:left w:val="none" w:sz="0" w:space="0" w:color="auto"/>
                            <w:bottom w:val="none" w:sz="0" w:space="0" w:color="auto"/>
                            <w:right w:val="none" w:sz="0" w:space="0" w:color="auto"/>
                          </w:divBdr>
                        </w:div>
                        <w:div w:id="2077967943">
                          <w:marLeft w:val="0"/>
                          <w:marRight w:val="0"/>
                          <w:marTop w:val="0"/>
                          <w:marBottom w:val="0"/>
                          <w:divBdr>
                            <w:top w:val="none" w:sz="0" w:space="0" w:color="auto"/>
                            <w:left w:val="none" w:sz="0" w:space="0" w:color="auto"/>
                            <w:bottom w:val="none" w:sz="0" w:space="0" w:color="auto"/>
                            <w:right w:val="none" w:sz="0" w:space="0" w:color="auto"/>
                          </w:divBdr>
                        </w:div>
                      </w:divsChild>
                    </w:div>
                    <w:div w:id="974531126">
                      <w:marLeft w:val="0"/>
                      <w:marRight w:val="0"/>
                      <w:marTop w:val="0"/>
                      <w:marBottom w:val="0"/>
                      <w:divBdr>
                        <w:top w:val="none" w:sz="0" w:space="0" w:color="auto"/>
                        <w:left w:val="none" w:sz="0" w:space="0" w:color="auto"/>
                        <w:bottom w:val="none" w:sz="0" w:space="0" w:color="auto"/>
                        <w:right w:val="none" w:sz="0" w:space="0" w:color="auto"/>
                      </w:divBdr>
                      <w:divsChild>
                        <w:div w:id="169101139">
                          <w:marLeft w:val="0"/>
                          <w:marRight w:val="0"/>
                          <w:marTop w:val="0"/>
                          <w:marBottom w:val="0"/>
                          <w:divBdr>
                            <w:top w:val="none" w:sz="0" w:space="0" w:color="auto"/>
                            <w:left w:val="none" w:sz="0" w:space="0" w:color="auto"/>
                            <w:bottom w:val="none" w:sz="0" w:space="0" w:color="auto"/>
                            <w:right w:val="none" w:sz="0" w:space="0" w:color="auto"/>
                          </w:divBdr>
                        </w:div>
                        <w:div w:id="1777870909">
                          <w:marLeft w:val="0"/>
                          <w:marRight w:val="0"/>
                          <w:marTop w:val="0"/>
                          <w:marBottom w:val="0"/>
                          <w:divBdr>
                            <w:top w:val="none" w:sz="0" w:space="0" w:color="auto"/>
                            <w:left w:val="none" w:sz="0" w:space="0" w:color="auto"/>
                            <w:bottom w:val="none" w:sz="0" w:space="0" w:color="auto"/>
                            <w:right w:val="none" w:sz="0" w:space="0" w:color="auto"/>
                          </w:divBdr>
                        </w:div>
                      </w:divsChild>
                    </w:div>
                    <w:div w:id="1953898494">
                      <w:marLeft w:val="0"/>
                      <w:marRight w:val="0"/>
                      <w:marTop w:val="0"/>
                      <w:marBottom w:val="0"/>
                      <w:divBdr>
                        <w:top w:val="none" w:sz="0" w:space="0" w:color="auto"/>
                        <w:left w:val="none" w:sz="0" w:space="0" w:color="auto"/>
                        <w:bottom w:val="none" w:sz="0" w:space="0" w:color="auto"/>
                        <w:right w:val="none" w:sz="0" w:space="0" w:color="auto"/>
                      </w:divBdr>
                      <w:divsChild>
                        <w:div w:id="1873684228">
                          <w:marLeft w:val="0"/>
                          <w:marRight w:val="0"/>
                          <w:marTop w:val="0"/>
                          <w:marBottom w:val="0"/>
                          <w:divBdr>
                            <w:top w:val="none" w:sz="0" w:space="0" w:color="auto"/>
                            <w:left w:val="none" w:sz="0" w:space="0" w:color="auto"/>
                            <w:bottom w:val="none" w:sz="0" w:space="0" w:color="auto"/>
                            <w:right w:val="none" w:sz="0" w:space="0" w:color="auto"/>
                          </w:divBdr>
                        </w:div>
                        <w:div w:id="1528445032">
                          <w:marLeft w:val="0"/>
                          <w:marRight w:val="0"/>
                          <w:marTop w:val="0"/>
                          <w:marBottom w:val="0"/>
                          <w:divBdr>
                            <w:top w:val="none" w:sz="0" w:space="0" w:color="auto"/>
                            <w:left w:val="none" w:sz="0" w:space="0" w:color="auto"/>
                            <w:bottom w:val="none" w:sz="0" w:space="0" w:color="auto"/>
                            <w:right w:val="none" w:sz="0" w:space="0" w:color="auto"/>
                          </w:divBdr>
                        </w:div>
                      </w:divsChild>
                    </w:div>
                    <w:div w:id="1601063857">
                      <w:marLeft w:val="0"/>
                      <w:marRight w:val="0"/>
                      <w:marTop w:val="0"/>
                      <w:marBottom w:val="0"/>
                      <w:divBdr>
                        <w:top w:val="none" w:sz="0" w:space="0" w:color="auto"/>
                        <w:left w:val="none" w:sz="0" w:space="0" w:color="auto"/>
                        <w:bottom w:val="none" w:sz="0" w:space="0" w:color="auto"/>
                        <w:right w:val="none" w:sz="0" w:space="0" w:color="auto"/>
                      </w:divBdr>
                      <w:divsChild>
                        <w:div w:id="1642079104">
                          <w:marLeft w:val="0"/>
                          <w:marRight w:val="0"/>
                          <w:marTop w:val="0"/>
                          <w:marBottom w:val="0"/>
                          <w:divBdr>
                            <w:top w:val="none" w:sz="0" w:space="0" w:color="auto"/>
                            <w:left w:val="none" w:sz="0" w:space="0" w:color="auto"/>
                            <w:bottom w:val="none" w:sz="0" w:space="0" w:color="auto"/>
                            <w:right w:val="none" w:sz="0" w:space="0" w:color="auto"/>
                          </w:divBdr>
                        </w:div>
                        <w:div w:id="19939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102">
                  <w:marLeft w:val="0"/>
                  <w:marRight w:val="0"/>
                  <w:marTop w:val="0"/>
                  <w:marBottom w:val="0"/>
                  <w:divBdr>
                    <w:top w:val="none" w:sz="0" w:space="0" w:color="auto"/>
                    <w:left w:val="none" w:sz="0" w:space="0" w:color="auto"/>
                    <w:bottom w:val="none" w:sz="0" w:space="0" w:color="auto"/>
                    <w:right w:val="none" w:sz="0" w:space="0" w:color="auto"/>
                  </w:divBdr>
                  <w:divsChild>
                    <w:div w:id="1028603883">
                      <w:marLeft w:val="0"/>
                      <w:marRight w:val="0"/>
                      <w:marTop w:val="0"/>
                      <w:marBottom w:val="0"/>
                      <w:divBdr>
                        <w:top w:val="none" w:sz="0" w:space="0" w:color="auto"/>
                        <w:left w:val="none" w:sz="0" w:space="0" w:color="auto"/>
                        <w:bottom w:val="none" w:sz="0" w:space="0" w:color="auto"/>
                        <w:right w:val="none" w:sz="0" w:space="0" w:color="auto"/>
                      </w:divBdr>
                    </w:div>
                    <w:div w:id="590506461">
                      <w:marLeft w:val="0"/>
                      <w:marRight w:val="0"/>
                      <w:marTop w:val="0"/>
                      <w:marBottom w:val="0"/>
                      <w:divBdr>
                        <w:top w:val="none" w:sz="0" w:space="0" w:color="auto"/>
                        <w:left w:val="none" w:sz="0" w:space="0" w:color="auto"/>
                        <w:bottom w:val="none" w:sz="0" w:space="0" w:color="auto"/>
                        <w:right w:val="none" w:sz="0" w:space="0" w:color="auto"/>
                      </w:divBdr>
                      <w:divsChild>
                        <w:div w:id="924344651">
                          <w:marLeft w:val="0"/>
                          <w:marRight w:val="0"/>
                          <w:marTop w:val="0"/>
                          <w:marBottom w:val="0"/>
                          <w:divBdr>
                            <w:top w:val="none" w:sz="0" w:space="0" w:color="auto"/>
                            <w:left w:val="none" w:sz="0" w:space="0" w:color="auto"/>
                            <w:bottom w:val="none" w:sz="0" w:space="0" w:color="auto"/>
                            <w:right w:val="none" w:sz="0" w:space="0" w:color="auto"/>
                          </w:divBdr>
                        </w:div>
                        <w:div w:id="591427127">
                          <w:marLeft w:val="0"/>
                          <w:marRight w:val="0"/>
                          <w:marTop w:val="0"/>
                          <w:marBottom w:val="0"/>
                          <w:divBdr>
                            <w:top w:val="none" w:sz="0" w:space="0" w:color="auto"/>
                            <w:left w:val="none" w:sz="0" w:space="0" w:color="auto"/>
                            <w:bottom w:val="none" w:sz="0" w:space="0" w:color="auto"/>
                            <w:right w:val="none" w:sz="0" w:space="0" w:color="auto"/>
                          </w:divBdr>
                        </w:div>
                        <w:div w:id="1101221948">
                          <w:marLeft w:val="0"/>
                          <w:marRight w:val="0"/>
                          <w:marTop w:val="0"/>
                          <w:marBottom w:val="0"/>
                          <w:divBdr>
                            <w:top w:val="none" w:sz="0" w:space="0" w:color="auto"/>
                            <w:left w:val="none" w:sz="0" w:space="0" w:color="auto"/>
                            <w:bottom w:val="none" w:sz="0" w:space="0" w:color="auto"/>
                            <w:right w:val="none" w:sz="0" w:space="0" w:color="auto"/>
                          </w:divBdr>
                        </w:div>
                      </w:divsChild>
                    </w:div>
                    <w:div w:id="1055855448">
                      <w:marLeft w:val="0"/>
                      <w:marRight w:val="0"/>
                      <w:marTop w:val="0"/>
                      <w:marBottom w:val="0"/>
                      <w:divBdr>
                        <w:top w:val="none" w:sz="0" w:space="0" w:color="auto"/>
                        <w:left w:val="none" w:sz="0" w:space="0" w:color="auto"/>
                        <w:bottom w:val="none" w:sz="0" w:space="0" w:color="auto"/>
                        <w:right w:val="none" w:sz="0" w:space="0" w:color="auto"/>
                      </w:divBdr>
                      <w:divsChild>
                        <w:div w:id="1807315354">
                          <w:marLeft w:val="0"/>
                          <w:marRight w:val="0"/>
                          <w:marTop w:val="0"/>
                          <w:marBottom w:val="0"/>
                          <w:divBdr>
                            <w:top w:val="none" w:sz="0" w:space="0" w:color="auto"/>
                            <w:left w:val="none" w:sz="0" w:space="0" w:color="auto"/>
                            <w:bottom w:val="none" w:sz="0" w:space="0" w:color="auto"/>
                            <w:right w:val="none" w:sz="0" w:space="0" w:color="auto"/>
                          </w:divBdr>
                        </w:div>
                        <w:div w:id="972445297">
                          <w:marLeft w:val="0"/>
                          <w:marRight w:val="0"/>
                          <w:marTop w:val="0"/>
                          <w:marBottom w:val="0"/>
                          <w:divBdr>
                            <w:top w:val="none" w:sz="0" w:space="0" w:color="auto"/>
                            <w:left w:val="none" w:sz="0" w:space="0" w:color="auto"/>
                            <w:bottom w:val="none" w:sz="0" w:space="0" w:color="auto"/>
                            <w:right w:val="none" w:sz="0" w:space="0" w:color="auto"/>
                          </w:divBdr>
                        </w:div>
                      </w:divsChild>
                    </w:div>
                    <w:div w:id="1539006715">
                      <w:marLeft w:val="0"/>
                      <w:marRight w:val="0"/>
                      <w:marTop w:val="0"/>
                      <w:marBottom w:val="0"/>
                      <w:divBdr>
                        <w:top w:val="none" w:sz="0" w:space="0" w:color="auto"/>
                        <w:left w:val="none" w:sz="0" w:space="0" w:color="auto"/>
                        <w:bottom w:val="none" w:sz="0" w:space="0" w:color="auto"/>
                        <w:right w:val="none" w:sz="0" w:space="0" w:color="auto"/>
                      </w:divBdr>
                      <w:divsChild>
                        <w:div w:id="770391407">
                          <w:marLeft w:val="0"/>
                          <w:marRight w:val="0"/>
                          <w:marTop w:val="0"/>
                          <w:marBottom w:val="0"/>
                          <w:divBdr>
                            <w:top w:val="none" w:sz="0" w:space="0" w:color="auto"/>
                            <w:left w:val="none" w:sz="0" w:space="0" w:color="auto"/>
                            <w:bottom w:val="none" w:sz="0" w:space="0" w:color="auto"/>
                            <w:right w:val="none" w:sz="0" w:space="0" w:color="auto"/>
                          </w:divBdr>
                        </w:div>
                      </w:divsChild>
                    </w:div>
                    <w:div w:id="47413246">
                      <w:marLeft w:val="0"/>
                      <w:marRight w:val="0"/>
                      <w:marTop w:val="0"/>
                      <w:marBottom w:val="0"/>
                      <w:divBdr>
                        <w:top w:val="none" w:sz="0" w:space="0" w:color="auto"/>
                        <w:left w:val="none" w:sz="0" w:space="0" w:color="auto"/>
                        <w:bottom w:val="none" w:sz="0" w:space="0" w:color="auto"/>
                        <w:right w:val="none" w:sz="0" w:space="0" w:color="auto"/>
                      </w:divBdr>
                      <w:divsChild>
                        <w:div w:id="1845122384">
                          <w:marLeft w:val="0"/>
                          <w:marRight w:val="0"/>
                          <w:marTop w:val="0"/>
                          <w:marBottom w:val="0"/>
                          <w:divBdr>
                            <w:top w:val="none" w:sz="0" w:space="0" w:color="auto"/>
                            <w:left w:val="none" w:sz="0" w:space="0" w:color="auto"/>
                            <w:bottom w:val="none" w:sz="0" w:space="0" w:color="auto"/>
                            <w:right w:val="none" w:sz="0" w:space="0" w:color="auto"/>
                          </w:divBdr>
                          <w:divsChild>
                            <w:div w:id="983044724">
                              <w:marLeft w:val="0"/>
                              <w:marRight w:val="0"/>
                              <w:marTop w:val="0"/>
                              <w:marBottom w:val="0"/>
                              <w:divBdr>
                                <w:top w:val="none" w:sz="0" w:space="0" w:color="auto"/>
                                <w:left w:val="none" w:sz="0" w:space="0" w:color="auto"/>
                                <w:bottom w:val="none" w:sz="0" w:space="0" w:color="auto"/>
                                <w:right w:val="none" w:sz="0" w:space="0" w:color="auto"/>
                              </w:divBdr>
                              <w:divsChild>
                                <w:div w:id="2095785718">
                                  <w:marLeft w:val="0"/>
                                  <w:marRight w:val="0"/>
                                  <w:marTop w:val="0"/>
                                  <w:marBottom w:val="0"/>
                                  <w:divBdr>
                                    <w:top w:val="none" w:sz="0" w:space="0" w:color="auto"/>
                                    <w:left w:val="none" w:sz="0" w:space="0" w:color="auto"/>
                                    <w:bottom w:val="none" w:sz="0" w:space="0" w:color="auto"/>
                                    <w:right w:val="none" w:sz="0" w:space="0" w:color="auto"/>
                                  </w:divBdr>
                                  <w:divsChild>
                                    <w:div w:id="484245998">
                                      <w:marLeft w:val="0"/>
                                      <w:marRight w:val="0"/>
                                      <w:marTop w:val="0"/>
                                      <w:marBottom w:val="0"/>
                                      <w:divBdr>
                                        <w:top w:val="none" w:sz="0" w:space="0" w:color="auto"/>
                                        <w:left w:val="none" w:sz="0" w:space="0" w:color="auto"/>
                                        <w:bottom w:val="none" w:sz="0" w:space="0" w:color="auto"/>
                                        <w:right w:val="none" w:sz="0" w:space="0" w:color="auto"/>
                                      </w:divBdr>
                                    </w:div>
                                    <w:div w:id="30107055">
                                      <w:marLeft w:val="0"/>
                                      <w:marRight w:val="0"/>
                                      <w:marTop w:val="0"/>
                                      <w:marBottom w:val="0"/>
                                      <w:divBdr>
                                        <w:top w:val="none" w:sz="0" w:space="0" w:color="auto"/>
                                        <w:left w:val="none" w:sz="0" w:space="0" w:color="auto"/>
                                        <w:bottom w:val="none" w:sz="0" w:space="0" w:color="auto"/>
                                        <w:right w:val="none" w:sz="0" w:space="0" w:color="auto"/>
                                      </w:divBdr>
                                    </w:div>
                                    <w:div w:id="3130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6789">
                      <w:marLeft w:val="0"/>
                      <w:marRight w:val="0"/>
                      <w:marTop w:val="0"/>
                      <w:marBottom w:val="0"/>
                      <w:divBdr>
                        <w:top w:val="none" w:sz="0" w:space="0" w:color="auto"/>
                        <w:left w:val="none" w:sz="0" w:space="0" w:color="auto"/>
                        <w:bottom w:val="none" w:sz="0" w:space="0" w:color="auto"/>
                        <w:right w:val="none" w:sz="0" w:space="0" w:color="auto"/>
                      </w:divBdr>
                      <w:divsChild>
                        <w:div w:id="2099935296">
                          <w:marLeft w:val="0"/>
                          <w:marRight w:val="0"/>
                          <w:marTop w:val="0"/>
                          <w:marBottom w:val="0"/>
                          <w:divBdr>
                            <w:top w:val="none" w:sz="0" w:space="0" w:color="auto"/>
                            <w:left w:val="none" w:sz="0" w:space="0" w:color="auto"/>
                            <w:bottom w:val="none" w:sz="0" w:space="0" w:color="auto"/>
                            <w:right w:val="none" w:sz="0" w:space="0" w:color="auto"/>
                          </w:divBdr>
                        </w:div>
                        <w:div w:id="1707366930">
                          <w:marLeft w:val="0"/>
                          <w:marRight w:val="0"/>
                          <w:marTop w:val="0"/>
                          <w:marBottom w:val="0"/>
                          <w:divBdr>
                            <w:top w:val="none" w:sz="0" w:space="0" w:color="auto"/>
                            <w:left w:val="none" w:sz="0" w:space="0" w:color="auto"/>
                            <w:bottom w:val="none" w:sz="0" w:space="0" w:color="auto"/>
                            <w:right w:val="none" w:sz="0" w:space="0" w:color="auto"/>
                          </w:divBdr>
                        </w:div>
                      </w:divsChild>
                    </w:div>
                    <w:div w:id="1312514487">
                      <w:marLeft w:val="0"/>
                      <w:marRight w:val="0"/>
                      <w:marTop w:val="0"/>
                      <w:marBottom w:val="0"/>
                      <w:divBdr>
                        <w:top w:val="none" w:sz="0" w:space="0" w:color="auto"/>
                        <w:left w:val="none" w:sz="0" w:space="0" w:color="auto"/>
                        <w:bottom w:val="none" w:sz="0" w:space="0" w:color="auto"/>
                        <w:right w:val="none" w:sz="0" w:space="0" w:color="auto"/>
                      </w:divBdr>
                      <w:divsChild>
                        <w:div w:id="678309377">
                          <w:marLeft w:val="0"/>
                          <w:marRight w:val="0"/>
                          <w:marTop w:val="0"/>
                          <w:marBottom w:val="0"/>
                          <w:divBdr>
                            <w:top w:val="none" w:sz="0" w:space="0" w:color="auto"/>
                            <w:left w:val="none" w:sz="0" w:space="0" w:color="auto"/>
                            <w:bottom w:val="none" w:sz="0" w:space="0" w:color="auto"/>
                            <w:right w:val="none" w:sz="0" w:space="0" w:color="auto"/>
                          </w:divBdr>
                        </w:div>
                        <w:div w:id="1618826281">
                          <w:marLeft w:val="0"/>
                          <w:marRight w:val="0"/>
                          <w:marTop w:val="0"/>
                          <w:marBottom w:val="0"/>
                          <w:divBdr>
                            <w:top w:val="none" w:sz="0" w:space="0" w:color="auto"/>
                            <w:left w:val="none" w:sz="0" w:space="0" w:color="auto"/>
                            <w:bottom w:val="none" w:sz="0" w:space="0" w:color="auto"/>
                            <w:right w:val="none" w:sz="0" w:space="0" w:color="auto"/>
                          </w:divBdr>
                        </w:div>
                      </w:divsChild>
                    </w:div>
                    <w:div w:id="1616014817">
                      <w:marLeft w:val="0"/>
                      <w:marRight w:val="0"/>
                      <w:marTop w:val="0"/>
                      <w:marBottom w:val="0"/>
                      <w:divBdr>
                        <w:top w:val="none" w:sz="0" w:space="0" w:color="auto"/>
                        <w:left w:val="none" w:sz="0" w:space="0" w:color="auto"/>
                        <w:bottom w:val="none" w:sz="0" w:space="0" w:color="auto"/>
                        <w:right w:val="none" w:sz="0" w:space="0" w:color="auto"/>
                      </w:divBdr>
                      <w:divsChild>
                        <w:div w:id="1025593986">
                          <w:marLeft w:val="0"/>
                          <w:marRight w:val="0"/>
                          <w:marTop w:val="0"/>
                          <w:marBottom w:val="0"/>
                          <w:divBdr>
                            <w:top w:val="none" w:sz="0" w:space="0" w:color="auto"/>
                            <w:left w:val="none" w:sz="0" w:space="0" w:color="auto"/>
                            <w:bottom w:val="none" w:sz="0" w:space="0" w:color="auto"/>
                            <w:right w:val="none" w:sz="0" w:space="0" w:color="auto"/>
                          </w:divBdr>
                        </w:div>
                        <w:div w:id="1433890763">
                          <w:marLeft w:val="0"/>
                          <w:marRight w:val="0"/>
                          <w:marTop w:val="0"/>
                          <w:marBottom w:val="0"/>
                          <w:divBdr>
                            <w:top w:val="none" w:sz="0" w:space="0" w:color="auto"/>
                            <w:left w:val="none" w:sz="0" w:space="0" w:color="auto"/>
                            <w:bottom w:val="none" w:sz="0" w:space="0" w:color="auto"/>
                            <w:right w:val="none" w:sz="0" w:space="0" w:color="auto"/>
                          </w:divBdr>
                        </w:div>
                      </w:divsChild>
                    </w:div>
                    <w:div w:id="2117169548">
                      <w:marLeft w:val="0"/>
                      <w:marRight w:val="0"/>
                      <w:marTop w:val="0"/>
                      <w:marBottom w:val="0"/>
                      <w:divBdr>
                        <w:top w:val="none" w:sz="0" w:space="0" w:color="auto"/>
                        <w:left w:val="none" w:sz="0" w:space="0" w:color="auto"/>
                        <w:bottom w:val="none" w:sz="0" w:space="0" w:color="auto"/>
                        <w:right w:val="none" w:sz="0" w:space="0" w:color="auto"/>
                      </w:divBdr>
                    </w:div>
                  </w:divsChild>
                </w:div>
                <w:div w:id="1200632275">
                  <w:marLeft w:val="0"/>
                  <w:marRight w:val="0"/>
                  <w:marTop w:val="0"/>
                  <w:marBottom w:val="0"/>
                  <w:divBdr>
                    <w:top w:val="none" w:sz="0" w:space="0" w:color="auto"/>
                    <w:left w:val="none" w:sz="0" w:space="0" w:color="auto"/>
                    <w:bottom w:val="none" w:sz="0" w:space="0" w:color="auto"/>
                    <w:right w:val="none" w:sz="0" w:space="0" w:color="auto"/>
                  </w:divBdr>
                  <w:divsChild>
                    <w:div w:id="1202397737">
                      <w:marLeft w:val="0"/>
                      <w:marRight w:val="0"/>
                      <w:marTop w:val="0"/>
                      <w:marBottom w:val="0"/>
                      <w:divBdr>
                        <w:top w:val="none" w:sz="0" w:space="0" w:color="auto"/>
                        <w:left w:val="none" w:sz="0" w:space="0" w:color="auto"/>
                        <w:bottom w:val="none" w:sz="0" w:space="0" w:color="auto"/>
                        <w:right w:val="none" w:sz="0" w:space="0" w:color="auto"/>
                      </w:divBdr>
                    </w:div>
                    <w:div w:id="1040129064">
                      <w:marLeft w:val="0"/>
                      <w:marRight w:val="0"/>
                      <w:marTop w:val="0"/>
                      <w:marBottom w:val="0"/>
                      <w:divBdr>
                        <w:top w:val="none" w:sz="0" w:space="0" w:color="auto"/>
                        <w:left w:val="none" w:sz="0" w:space="0" w:color="auto"/>
                        <w:bottom w:val="none" w:sz="0" w:space="0" w:color="auto"/>
                        <w:right w:val="none" w:sz="0" w:space="0" w:color="auto"/>
                      </w:divBdr>
                      <w:divsChild>
                        <w:div w:id="279145577">
                          <w:marLeft w:val="0"/>
                          <w:marRight w:val="0"/>
                          <w:marTop w:val="0"/>
                          <w:marBottom w:val="0"/>
                          <w:divBdr>
                            <w:top w:val="none" w:sz="0" w:space="0" w:color="auto"/>
                            <w:left w:val="none" w:sz="0" w:space="0" w:color="auto"/>
                            <w:bottom w:val="none" w:sz="0" w:space="0" w:color="auto"/>
                            <w:right w:val="none" w:sz="0" w:space="0" w:color="auto"/>
                          </w:divBdr>
                        </w:div>
                        <w:div w:id="72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9442">
                  <w:marLeft w:val="0"/>
                  <w:marRight w:val="0"/>
                  <w:marTop w:val="0"/>
                  <w:marBottom w:val="0"/>
                  <w:divBdr>
                    <w:top w:val="none" w:sz="0" w:space="0" w:color="auto"/>
                    <w:left w:val="none" w:sz="0" w:space="0" w:color="auto"/>
                    <w:bottom w:val="none" w:sz="0" w:space="0" w:color="auto"/>
                    <w:right w:val="none" w:sz="0" w:space="0" w:color="auto"/>
                  </w:divBdr>
                  <w:divsChild>
                    <w:div w:id="1268271330">
                      <w:marLeft w:val="0"/>
                      <w:marRight w:val="0"/>
                      <w:marTop w:val="0"/>
                      <w:marBottom w:val="0"/>
                      <w:divBdr>
                        <w:top w:val="none" w:sz="0" w:space="0" w:color="auto"/>
                        <w:left w:val="none" w:sz="0" w:space="0" w:color="auto"/>
                        <w:bottom w:val="none" w:sz="0" w:space="0" w:color="auto"/>
                        <w:right w:val="none" w:sz="0" w:space="0" w:color="auto"/>
                      </w:divBdr>
                      <w:divsChild>
                        <w:div w:id="56511315">
                          <w:marLeft w:val="0"/>
                          <w:marRight w:val="0"/>
                          <w:marTop w:val="0"/>
                          <w:marBottom w:val="0"/>
                          <w:divBdr>
                            <w:top w:val="none" w:sz="0" w:space="0" w:color="auto"/>
                            <w:left w:val="none" w:sz="0" w:space="0" w:color="auto"/>
                            <w:bottom w:val="none" w:sz="0" w:space="0" w:color="auto"/>
                            <w:right w:val="none" w:sz="0" w:space="0" w:color="auto"/>
                          </w:divBdr>
                        </w:div>
                        <w:div w:id="1307472940">
                          <w:marLeft w:val="0"/>
                          <w:marRight w:val="0"/>
                          <w:marTop w:val="0"/>
                          <w:marBottom w:val="0"/>
                          <w:divBdr>
                            <w:top w:val="none" w:sz="0" w:space="0" w:color="auto"/>
                            <w:left w:val="none" w:sz="0" w:space="0" w:color="auto"/>
                            <w:bottom w:val="none" w:sz="0" w:space="0" w:color="auto"/>
                            <w:right w:val="none" w:sz="0" w:space="0" w:color="auto"/>
                          </w:divBdr>
                        </w:div>
                        <w:div w:id="1443497262">
                          <w:marLeft w:val="0"/>
                          <w:marRight w:val="0"/>
                          <w:marTop w:val="0"/>
                          <w:marBottom w:val="0"/>
                          <w:divBdr>
                            <w:top w:val="none" w:sz="0" w:space="0" w:color="auto"/>
                            <w:left w:val="none" w:sz="0" w:space="0" w:color="auto"/>
                            <w:bottom w:val="none" w:sz="0" w:space="0" w:color="auto"/>
                            <w:right w:val="none" w:sz="0" w:space="0" w:color="auto"/>
                          </w:divBdr>
                        </w:div>
                      </w:divsChild>
                    </w:div>
                    <w:div w:id="30228918">
                      <w:marLeft w:val="0"/>
                      <w:marRight w:val="0"/>
                      <w:marTop w:val="0"/>
                      <w:marBottom w:val="0"/>
                      <w:divBdr>
                        <w:top w:val="none" w:sz="0" w:space="0" w:color="auto"/>
                        <w:left w:val="none" w:sz="0" w:space="0" w:color="auto"/>
                        <w:bottom w:val="none" w:sz="0" w:space="0" w:color="auto"/>
                        <w:right w:val="none" w:sz="0" w:space="0" w:color="auto"/>
                      </w:divBdr>
                      <w:divsChild>
                        <w:div w:id="522330611">
                          <w:marLeft w:val="0"/>
                          <w:marRight w:val="0"/>
                          <w:marTop w:val="0"/>
                          <w:marBottom w:val="0"/>
                          <w:divBdr>
                            <w:top w:val="none" w:sz="0" w:space="0" w:color="auto"/>
                            <w:left w:val="none" w:sz="0" w:space="0" w:color="auto"/>
                            <w:bottom w:val="none" w:sz="0" w:space="0" w:color="auto"/>
                            <w:right w:val="none" w:sz="0" w:space="0" w:color="auto"/>
                          </w:divBdr>
                        </w:div>
                        <w:div w:id="17799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1890">
                  <w:marLeft w:val="0"/>
                  <w:marRight w:val="0"/>
                  <w:marTop w:val="0"/>
                  <w:marBottom w:val="0"/>
                  <w:divBdr>
                    <w:top w:val="none" w:sz="0" w:space="0" w:color="auto"/>
                    <w:left w:val="none" w:sz="0" w:space="0" w:color="auto"/>
                    <w:bottom w:val="none" w:sz="0" w:space="0" w:color="auto"/>
                    <w:right w:val="none" w:sz="0" w:space="0" w:color="auto"/>
                  </w:divBdr>
                </w:div>
                <w:div w:id="15951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10590">
      <w:bodyDiv w:val="1"/>
      <w:marLeft w:val="0"/>
      <w:marRight w:val="0"/>
      <w:marTop w:val="0"/>
      <w:marBottom w:val="0"/>
      <w:divBdr>
        <w:top w:val="none" w:sz="0" w:space="0" w:color="auto"/>
        <w:left w:val="none" w:sz="0" w:space="0" w:color="auto"/>
        <w:bottom w:val="none" w:sz="0" w:space="0" w:color="auto"/>
        <w:right w:val="none" w:sz="0" w:space="0" w:color="auto"/>
      </w:divBdr>
      <w:divsChild>
        <w:div w:id="1635524609">
          <w:marLeft w:val="0"/>
          <w:marRight w:val="0"/>
          <w:marTop w:val="0"/>
          <w:marBottom w:val="0"/>
          <w:divBdr>
            <w:top w:val="none" w:sz="0" w:space="0" w:color="auto"/>
            <w:left w:val="none" w:sz="0" w:space="0" w:color="auto"/>
            <w:bottom w:val="none" w:sz="0" w:space="0" w:color="auto"/>
            <w:right w:val="none" w:sz="0" w:space="0" w:color="auto"/>
          </w:divBdr>
          <w:divsChild>
            <w:div w:id="1658610801">
              <w:marLeft w:val="0"/>
              <w:marRight w:val="0"/>
              <w:marTop w:val="0"/>
              <w:marBottom w:val="0"/>
              <w:divBdr>
                <w:top w:val="none" w:sz="0" w:space="0" w:color="auto"/>
                <w:left w:val="none" w:sz="0" w:space="0" w:color="auto"/>
                <w:bottom w:val="none" w:sz="0" w:space="0" w:color="auto"/>
                <w:right w:val="none" w:sz="0" w:space="0" w:color="auto"/>
              </w:divBdr>
              <w:divsChild>
                <w:div w:id="1057894783">
                  <w:marLeft w:val="0"/>
                  <w:marRight w:val="0"/>
                  <w:marTop w:val="0"/>
                  <w:marBottom w:val="0"/>
                  <w:divBdr>
                    <w:top w:val="none" w:sz="0" w:space="0" w:color="auto"/>
                    <w:left w:val="none" w:sz="0" w:space="0" w:color="auto"/>
                    <w:bottom w:val="none" w:sz="0" w:space="0" w:color="auto"/>
                    <w:right w:val="none" w:sz="0" w:space="0" w:color="auto"/>
                  </w:divBdr>
                  <w:divsChild>
                    <w:div w:id="16700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0289">
          <w:marLeft w:val="0"/>
          <w:marRight w:val="0"/>
          <w:marTop w:val="0"/>
          <w:marBottom w:val="0"/>
          <w:divBdr>
            <w:top w:val="none" w:sz="0" w:space="0" w:color="auto"/>
            <w:left w:val="none" w:sz="0" w:space="0" w:color="auto"/>
            <w:bottom w:val="none" w:sz="0" w:space="0" w:color="auto"/>
            <w:right w:val="none" w:sz="0" w:space="0" w:color="auto"/>
          </w:divBdr>
          <w:divsChild>
            <w:div w:id="930703582">
              <w:marLeft w:val="0"/>
              <w:marRight w:val="0"/>
              <w:marTop w:val="0"/>
              <w:marBottom w:val="0"/>
              <w:divBdr>
                <w:top w:val="none" w:sz="0" w:space="0" w:color="auto"/>
                <w:left w:val="none" w:sz="0" w:space="0" w:color="auto"/>
                <w:bottom w:val="none" w:sz="0" w:space="0" w:color="auto"/>
                <w:right w:val="none" w:sz="0" w:space="0" w:color="auto"/>
              </w:divBdr>
              <w:divsChild>
                <w:div w:id="897058286">
                  <w:marLeft w:val="0"/>
                  <w:marRight w:val="0"/>
                  <w:marTop w:val="0"/>
                  <w:marBottom w:val="0"/>
                  <w:divBdr>
                    <w:top w:val="none" w:sz="0" w:space="0" w:color="auto"/>
                    <w:left w:val="none" w:sz="0" w:space="0" w:color="auto"/>
                    <w:bottom w:val="none" w:sz="0" w:space="0" w:color="auto"/>
                    <w:right w:val="none" w:sz="0" w:space="0" w:color="auto"/>
                  </w:divBdr>
                  <w:divsChild>
                    <w:div w:id="423454932">
                      <w:marLeft w:val="0"/>
                      <w:marRight w:val="0"/>
                      <w:marTop w:val="0"/>
                      <w:marBottom w:val="0"/>
                      <w:divBdr>
                        <w:top w:val="none" w:sz="0" w:space="0" w:color="auto"/>
                        <w:left w:val="none" w:sz="0" w:space="0" w:color="auto"/>
                        <w:bottom w:val="none" w:sz="0" w:space="0" w:color="auto"/>
                        <w:right w:val="none" w:sz="0" w:space="0" w:color="auto"/>
                      </w:divBdr>
                      <w:divsChild>
                        <w:div w:id="17858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877">
                  <w:marLeft w:val="0"/>
                  <w:marRight w:val="0"/>
                  <w:marTop w:val="0"/>
                  <w:marBottom w:val="0"/>
                  <w:divBdr>
                    <w:top w:val="none" w:sz="0" w:space="0" w:color="auto"/>
                    <w:left w:val="none" w:sz="0" w:space="0"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sChild>
                        <w:div w:id="425224122">
                          <w:marLeft w:val="0"/>
                          <w:marRight w:val="0"/>
                          <w:marTop w:val="0"/>
                          <w:marBottom w:val="0"/>
                          <w:divBdr>
                            <w:top w:val="none" w:sz="0" w:space="0" w:color="auto"/>
                            <w:left w:val="none" w:sz="0" w:space="0" w:color="auto"/>
                            <w:bottom w:val="none" w:sz="0" w:space="0" w:color="auto"/>
                            <w:right w:val="none" w:sz="0" w:space="0" w:color="auto"/>
                          </w:divBdr>
                        </w:div>
                        <w:div w:id="2082753985">
                          <w:marLeft w:val="0"/>
                          <w:marRight w:val="0"/>
                          <w:marTop w:val="0"/>
                          <w:marBottom w:val="0"/>
                          <w:divBdr>
                            <w:top w:val="none" w:sz="0" w:space="0" w:color="auto"/>
                            <w:left w:val="none" w:sz="0" w:space="0" w:color="auto"/>
                            <w:bottom w:val="none" w:sz="0" w:space="0" w:color="auto"/>
                            <w:right w:val="none" w:sz="0" w:space="0" w:color="auto"/>
                          </w:divBdr>
                        </w:div>
                        <w:div w:id="2745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413-Sustainable-use-of-pesticides-revision-of-the-EU-rules/addFeedback?p_id=7929317" TargetMode="External"/><Relationship Id="rId3" Type="http://schemas.openxmlformats.org/officeDocument/2006/relationships/settings" Target="settings.xml"/><Relationship Id="rId7" Type="http://schemas.openxmlformats.org/officeDocument/2006/relationships/hyperlink" Target="https://ec.europa.eu/info/law/better-regulation/rules-feedback-and-sugges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better-regulation/rules-feedback-and-suggestions" TargetMode="External"/><Relationship Id="rId11" Type="http://schemas.openxmlformats.org/officeDocument/2006/relationships/fontTable" Target="fontTable.xml"/><Relationship Id="rId5" Type="http://schemas.openxmlformats.org/officeDocument/2006/relationships/hyperlink" Target="https://ec.europa.eu/info/law/law-making-process/planning-and-proposing-law_pl" TargetMode="External"/><Relationship Id="rId10" Type="http://schemas.openxmlformats.org/officeDocument/2006/relationships/hyperlink" Target="https://ec.europa.eu/info/law/law-making-process/adopting-eu-law_pl" TargetMode="External"/><Relationship Id="rId4" Type="http://schemas.openxmlformats.org/officeDocument/2006/relationships/webSettings" Target="webSettings.xml"/><Relationship Id="rId9" Type="http://schemas.openxmlformats.org/officeDocument/2006/relationships/hyperlink" Target="https://ec.europa.eu/info/law/better-regulation/have-your-say/initiatives/12413-Sustainable-use-of-pesticides-revision-of-the-EU-rules/feedback?p_id=79293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11</Pages>
  <Words>4973</Words>
  <Characters>29844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Ramatowska</dc:creator>
  <cp:lastModifiedBy>Ramatowska</cp:lastModifiedBy>
  <cp:revision>4</cp:revision>
  <cp:lastPrinted>2020-06-05T10:56:00Z</cp:lastPrinted>
  <dcterms:created xsi:type="dcterms:W3CDTF">2020-06-05T06:36:00Z</dcterms:created>
  <dcterms:modified xsi:type="dcterms:W3CDTF">2020-06-05T11:03:00Z</dcterms:modified>
</cp:coreProperties>
</file>