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0C" w:rsidRPr="00555A18" w:rsidRDefault="00555A18" w:rsidP="00555A18">
      <w:pPr>
        <w:jc w:val="both"/>
        <w:rPr>
          <w:b/>
        </w:rPr>
      </w:pPr>
      <w:r>
        <w:t>05.04.2022 r.</w:t>
      </w:r>
    </w:p>
    <w:p w:rsidR="003F360C" w:rsidRPr="00555A18" w:rsidRDefault="00555A18" w:rsidP="00555A18">
      <w:pPr>
        <w:pStyle w:val="Headline"/>
        <w:jc w:val="both"/>
        <w:rPr>
          <w:sz w:val="47"/>
          <w:szCs w:val="47"/>
        </w:rPr>
      </w:pPr>
      <w:r>
        <w:rPr>
          <w:sz w:val="47"/>
          <w:szCs w:val="47"/>
        </w:rPr>
        <w:t>Oświadczenie</w:t>
      </w:r>
    </w:p>
    <w:p w:rsidR="00555A18" w:rsidRPr="00555A18" w:rsidRDefault="00555A18" w:rsidP="00555A18">
      <w:pPr>
        <w:spacing w:line="240" w:lineRule="auto"/>
        <w:jc w:val="both"/>
        <w:rPr>
          <w:b/>
          <w:sz w:val="32"/>
          <w:szCs w:val="32"/>
        </w:rPr>
      </w:pPr>
    </w:p>
    <w:p w:rsidR="00555A18" w:rsidRDefault="00555A18" w:rsidP="00555A18">
      <w:pPr>
        <w:spacing w:line="240" w:lineRule="auto"/>
        <w:jc w:val="both"/>
        <w:rPr>
          <w:b/>
          <w:sz w:val="32"/>
          <w:szCs w:val="32"/>
        </w:rPr>
      </w:pPr>
      <w:r>
        <w:rPr>
          <w:b/>
          <w:sz w:val="32"/>
          <w:szCs w:val="32"/>
        </w:rPr>
        <w:t>na temat sprawozdania dotyczącego Platformy ds. zrównoważonego finansowania z zaleceniami w zakresie technicznych kryteriów kwalifikacji dla czterech pozostałych celów środowiskowych taksonomii UE</w:t>
      </w:r>
    </w:p>
    <w:p w:rsidR="003F360C" w:rsidRPr="00555A18" w:rsidRDefault="003F360C" w:rsidP="00555A18">
      <w:pPr>
        <w:spacing w:line="240" w:lineRule="auto"/>
        <w:jc w:val="both"/>
        <w:rPr>
          <w:b/>
          <w:sz w:val="32"/>
          <w:szCs w:val="32"/>
        </w:rPr>
      </w:pPr>
      <w:r>
        <w:t xml:space="preserve"> </w:t>
      </w:r>
    </w:p>
    <w:p w:rsidR="00555A18" w:rsidRPr="00555A18" w:rsidRDefault="00555A18" w:rsidP="00555A18">
      <w:pPr>
        <w:spacing w:after="120" w:line="252" w:lineRule="auto"/>
        <w:jc w:val="both"/>
        <w:rPr>
          <w:szCs w:val="21"/>
        </w:rPr>
      </w:pPr>
      <w:r>
        <w:t xml:space="preserve">Copa i Cogeca reprezentują 22 miliony rolników i ich rodzin oraz 22 tysiące spółdzielni, które każdego dnia dostarczają 446 milionom obywateli UE bezpiecznej, pożywnej, wysokiej jakości, zrównoważonej i przystępnej cenowo żywności. </w:t>
      </w:r>
    </w:p>
    <w:p w:rsidR="00555A18" w:rsidRPr="00555A18" w:rsidRDefault="00555A18" w:rsidP="00555A18">
      <w:pPr>
        <w:spacing w:after="120" w:line="252" w:lineRule="auto"/>
        <w:jc w:val="both"/>
        <w:rPr>
          <w:szCs w:val="21"/>
        </w:rPr>
      </w:pPr>
      <w:r>
        <w:t xml:space="preserve">To europejscy rolnicy, właściciele lasów i ich spółdzielnie w swojej codziennej pracy odczuwają skutki zmiany klimatu i utraty różnorodności biologicznej. Bez uruchomienia inwestycji trudno im będzie stawić czoła tym coraz poważniejszym wyzwaniom obecnie i w przyszłości, a także wnieść wkład w odwrócenie tej tendencji przy jednoczesnym zapewnieniu bezpieczeństwa żywnościowego. </w:t>
      </w:r>
    </w:p>
    <w:p w:rsidR="00555A18" w:rsidRPr="00555A18" w:rsidRDefault="00555A18" w:rsidP="00555A18">
      <w:pPr>
        <w:spacing w:after="120" w:line="252" w:lineRule="auto"/>
        <w:jc w:val="both"/>
        <w:rPr>
          <w:szCs w:val="21"/>
        </w:rPr>
      </w:pPr>
      <w:r>
        <w:t>Sektor rolno-spożywczy bardziej niż kiedykolwiek wcześniej potrzebuje zachęt i inwestycji w bardziej zrównoważone metody produkcji i środki dostosowawcze, wykorzystanie inteligentniejszych technologii oraz cyfryzację. W nowych warunkach, które pojawiły się w związku z pandemią COVID-19 oraz wojną w Ukrainie i które wymagają zdecydowanej reakcji</w:t>
      </w:r>
      <w:r w:rsidR="008A02EC">
        <w:t xml:space="preserve"> ze strony</w:t>
      </w:r>
      <w:r>
        <w:t xml:space="preserve"> sektora rolnego, by zaspokoić rosnące zapotrzebowanie na żywność przy jednoczesnym utrzymaniu kursu na wydajniejszą gospodarkę zasobami i bardziej konkurencyjną gospodarkę, trzeba koniecznie zapewnić dostęp do zrównoważonego i tradycyjnego finansowania.</w:t>
      </w:r>
    </w:p>
    <w:p w:rsidR="00555A18" w:rsidRPr="00555A18" w:rsidRDefault="00555A18" w:rsidP="00555A18">
      <w:pPr>
        <w:spacing w:after="120" w:line="252" w:lineRule="auto"/>
        <w:jc w:val="both"/>
        <w:rPr>
          <w:szCs w:val="21"/>
        </w:rPr>
      </w:pPr>
      <w:r>
        <w:t>Copa i Cogeca doceniają wysiłki podejmowane przez instytucje UE na rzecz uruchomienia zasobów finansowych do realizacji celów politycznych Europejskiego Zielonego Ładu i stworzenia bardziej zrównoważonej i odpornej na zmianę klimatu gospodarki, bez uszczerbku dla swoich zobowiązań międzynarodowych. Zrównoważoność, na którą składają się trzy filary, od dawna stanowi centralną część projektu jakim jest Unia Europejska, co jest odzwierciedlone w Traktacie o Unii Europejskiej i Traktacie o funkcjonowaniu Unii Europejskiej (TFUE). Podkreślono to również w rozporządzeniu (UE) 2020/825 w sprawie ustanowienia ram ułatwiających zrównoważone inwestycje</w:t>
      </w:r>
    </w:p>
    <w:p w:rsidR="00555A18" w:rsidRPr="008A02EC" w:rsidRDefault="00555A18" w:rsidP="00555A18">
      <w:pPr>
        <w:spacing w:after="120" w:line="252" w:lineRule="auto"/>
        <w:jc w:val="both"/>
        <w:rPr>
          <w:szCs w:val="21"/>
        </w:rPr>
      </w:pPr>
    </w:p>
    <w:p w:rsidR="00555A18" w:rsidRPr="00555A18" w:rsidRDefault="00555A18" w:rsidP="00555A18">
      <w:pPr>
        <w:spacing w:after="120" w:line="252" w:lineRule="auto"/>
        <w:jc w:val="both"/>
        <w:rPr>
          <w:b/>
          <w:szCs w:val="21"/>
        </w:rPr>
      </w:pPr>
      <w:r>
        <w:rPr>
          <w:b/>
          <w:szCs w:val="21"/>
        </w:rPr>
        <w:t>Brak praktycznych doświadczeń</w:t>
      </w:r>
    </w:p>
    <w:p w:rsidR="00555A18" w:rsidRPr="00555A18" w:rsidRDefault="00555A18" w:rsidP="00555A18">
      <w:pPr>
        <w:spacing w:after="120" w:line="252" w:lineRule="auto"/>
        <w:jc w:val="both"/>
        <w:rPr>
          <w:szCs w:val="21"/>
        </w:rPr>
      </w:pPr>
      <w:r>
        <w:t>Mimo że Copa i Cogeca dostrzegają ambitność celów politycznych powiązanych z pakietem dotyczącym zrównoważonego finansowania, musimy podkreślić, że po raz kolejny kryteria techniczne dla różnorodności biologicznej w rolnictwie, uwzględnione w zaleceniach Platformy ds. zrównoważonego finansowania nie uwzględniają i nie doceniają tego, co robią rolnicy i ich spółdzielnie. Wynika to głównie z faktu, że przedstawiciele naszych sektorów nie zasiadają w organie doradczym, któremu w związku z tym brakuje doświadczeń praktycznych i wiedzy na temat pracy rolników na rzecz zwiększenia zrównoważoności sektora rolnego.</w:t>
      </w:r>
    </w:p>
    <w:p w:rsidR="00555A18" w:rsidRPr="008A02EC" w:rsidRDefault="00555A18" w:rsidP="00555A18">
      <w:pPr>
        <w:spacing w:after="120" w:line="252" w:lineRule="auto"/>
        <w:jc w:val="both"/>
        <w:rPr>
          <w:b/>
          <w:szCs w:val="21"/>
        </w:rPr>
      </w:pPr>
    </w:p>
    <w:p w:rsidR="00555A18" w:rsidRPr="00555A18" w:rsidRDefault="00555A18" w:rsidP="00555A18">
      <w:pPr>
        <w:spacing w:after="120" w:line="252" w:lineRule="auto"/>
        <w:jc w:val="both"/>
        <w:rPr>
          <w:b/>
          <w:szCs w:val="21"/>
        </w:rPr>
      </w:pPr>
      <w:r>
        <w:rPr>
          <w:b/>
          <w:szCs w:val="21"/>
        </w:rPr>
        <w:lastRenderedPageBreak/>
        <w:t>Nierealistyczne stanowisko i brak spójności</w:t>
      </w:r>
    </w:p>
    <w:p w:rsidR="00555A18" w:rsidRPr="00555A18" w:rsidRDefault="00555A18" w:rsidP="00555A18">
      <w:pPr>
        <w:spacing w:after="120" w:line="252" w:lineRule="auto"/>
        <w:jc w:val="both"/>
        <w:rPr>
          <w:szCs w:val="21"/>
        </w:rPr>
      </w:pPr>
      <w:r>
        <w:t xml:space="preserve">W momencie publikacji sprawozdania technicznej grupy roboczej, które zawiera zalecenia dotyczące technicznych kryteriów kwalifikacji dla celu w zakresie różnorodności biologicznej, Platforma ds. zrównoważonego finansowania przyjęła odrealnioną pozycję dotyczącą sektorów rolnych. Zalecenia są niespójne z WPR i oderwane od praktyk agronomicznych i realiów panujących w terenie. Może okazać się, że są zbyt nakazowe i pomijają różnorodność praktyk rolniczych oraz lokalne potrzeby. Inwestycje muszą być ukierunkowane na lokalne podmioty, w oparciu o analizę SWOT i ocenę potrzeb. Nie możemy zgodzić się, by zalecenia dotyczące prawodawstwa wtórnego wywodziły się z niewiążących prawnie aktów. Podejście to nie ułatwi transformacji i może zagrozić konkurencyjności sektorów oraz bezpieczeństwu żywnościowemu i biomasy. </w:t>
      </w:r>
    </w:p>
    <w:p w:rsidR="00555A18" w:rsidRPr="00555A18" w:rsidRDefault="00555A18" w:rsidP="00555A18">
      <w:pPr>
        <w:spacing w:after="120" w:line="252" w:lineRule="auto"/>
        <w:jc w:val="both"/>
        <w:rPr>
          <w:szCs w:val="21"/>
        </w:rPr>
      </w:pPr>
      <w:r>
        <w:t>Wyraźnie dostrzegalny i godny pożałowania jest brak zaangażowania przedstawicieli rolników i spółdzielni rolniczych w cały proces, a także niechęć do rozważenia konstrukcyjnych i opartych na dowodach naukowych propozycji i sugestii, w tym tych zgłoszonych w ramach konsultacji publicznych.</w:t>
      </w:r>
    </w:p>
    <w:p w:rsidR="00555A18" w:rsidRPr="00555A18" w:rsidRDefault="00555A18" w:rsidP="00555A18">
      <w:pPr>
        <w:spacing w:after="120" w:line="252" w:lineRule="auto"/>
        <w:jc w:val="both"/>
        <w:rPr>
          <w:szCs w:val="21"/>
        </w:rPr>
      </w:pPr>
      <w:r>
        <w:t>W związku z tym wykonywalność tych zaleceń może okazać się poważnym wyzwaniem dla państw członkowskich, sektora rolnego i instytucji finansowych. Zalecenia te przyniosą ponadto skutki odwrotne od zamierzonych, gdyż stanowią zagrożenie dla prawdziwego celu rozporządzenia w sprawie zrównoważonego finansowania, gdyż zgodnie z zaproponowanymi kryteriami bardzo niewiele rodzajów działalności gospodarczej można uznać za w znacznym stopniu przyczyniające się do realizacji celów środowiskowych. Nie byłyby one jednak finansowane ze względu na wyraźny wzrost ryzyka ekonomicznego, na które inwestorzy nie mogliby sobie pozwolić, gdyż te rodzaje działalności nie byłyby rentowne.</w:t>
      </w:r>
    </w:p>
    <w:p w:rsidR="00555A18" w:rsidRPr="008A02EC" w:rsidRDefault="00555A18" w:rsidP="00555A18">
      <w:pPr>
        <w:spacing w:after="120" w:line="252" w:lineRule="auto"/>
        <w:jc w:val="both"/>
        <w:rPr>
          <w:szCs w:val="21"/>
        </w:rPr>
      </w:pPr>
    </w:p>
    <w:p w:rsidR="00555A18" w:rsidRPr="00555A18" w:rsidRDefault="00555A18" w:rsidP="00555A18">
      <w:pPr>
        <w:spacing w:after="120" w:line="252" w:lineRule="auto"/>
        <w:jc w:val="both"/>
        <w:rPr>
          <w:b/>
          <w:szCs w:val="21"/>
        </w:rPr>
      </w:pPr>
      <w:r>
        <w:rPr>
          <w:b/>
          <w:szCs w:val="21"/>
        </w:rPr>
        <w:t>Gospodarka rolna bardzo różni się od gospodarki finansowej</w:t>
      </w:r>
    </w:p>
    <w:p w:rsidR="00555A18" w:rsidRPr="00555A18" w:rsidRDefault="00555A18" w:rsidP="00555A18">
      <w:pPr>
        <w:spacing w:after="120" w:line="252" w:lineRule="auto"/>
        <w:jc w:val="both"/>
        <w:rPr>
          <w:szCs w:val="21"/>
        </w:rPr>
      </w:pPr>
      <w:r>
        <w:t>Copa i Cogeca wzywają więc Komisję do przemyślenia metody zastosowanej przez organ doradczy. Odpowiednia definicja, na podstawie której działalność gospodarczą można uznać za zrównoważoną środowiskowo powinna opierać się na obowiązujących, prawnie wiążących przepisach, dyskusjach sektorowych i pracach uwzględniających podstawowe założenia techniczne, prawne i gospodarcze.</w:t>
      </w:r>
    </w:p>
    <w:p w:rsidR="00555A18" w:rsidRPr="00555A18" w:rsidRDefault="00555A18" w:rsidP="00555A18">
      <w:pPr>
        <w:spacing w:after="120" w:line="252" w:lineRule="auto"/>
        <w:jc w:val="both"/>
        <w:rPr>
          <w:szCs w:val="21"/>
        </w:rPr>
      </w:pPr>
      <w:r>
        <w:t xml:space="preserve">Kwestionujemy więc to sprawozdanie, gdyż ustanowione w nim kryteria i wynikające z nich cele są nierealistyczne. Zalecenia te są niemożliwe do wdrożenia i stanowią zagrożenie dla bezpieczeństwa żywnościowego i biomasy w UE, rentowności obszarów wiejskich ze względu na utratę miejsc pracy i konkurencyjności sektorów rolno-spożywczych, a także zniechęcają inwestorów do wprowadzania kapitału do naszych sektorów. </w:t>
      </w:r>
    </w:p>
    <w:p w:rsidR="00555A18" w:rsidRPr="008A02EC" w:rsidRDefault="00555A18" w:rsidP="00555A18">
      <w:pPr>
        <w:spacing w:after="120" w:line="252" w:lineRule="auto"/>
        <w:jc w:val="both"/>
        <w:rPr>
          <w:szCs w:val="21"/>
        </w:rPr>
      </w:pPr>
    </w:p>
    <w:p w:rsidR="00555A18" w:rsidRPr="00555A18" w:rsidRDefault="00555A18" w:rsidP="00555A18">
      <w:pPr>
        <w:spacing w:after="120" w:line="252" w:lineRule="auto"/>
        <w:jc w:val="both"/>
        <w:rPr>
          <w:b/>
          <w:szCs w:val="21"/>
        </w:rPr>
      </w:pPr>
      <w:r>
        <w:rPr>
          <w:b/>
          <w:szCs w:val="21"/>
        </w:rPr>
        <w:t>Nie ma zrównoważoności bez spójności</w:t>
      </w:r>
    </w:p>
    <w:p w:rsidR="00555A18" w:rsidRPr="00555A18" w:rsidRDefault="00555A18" w:rsidP="00555A18">
      <w:pPr>
        <w:spacing w:after="120" w:line="252" w:lineRule="auto"/>
        <w:jc w:val="both"/>
        <w:rPr>
          <w:szCs w:val="21"/>
        </w:rPr>
      </w:pPr>
      <w:r>
        <w:t xml:space="preserve">UE nie może żądać od rolników i spółdzielni rolniczych dalszej poprawy praktyk i zwiększenia zrównoważoności, jeśli równocześnie przyjmie przepisy uniemożliwiające im podejmowanie tego typu inwestycji. Jest to dowód na brak spójności i ambicje wykraczające daleko poza realistyczne i praktyczne podejście. Pragniemy przypomnieć, że wszelkie dodatkowe przepisy, które są surowsze od tych aktualnie obowiązujących w ramach WPR i innych prawnie wiążących zapisów unijnych, i które zawierają niemożliwe do spełnienia kryteria i wymagają wykorzystania niedostępnych danych, a także proponowane plany zrównoważoności gospodarstw oraz mechanizmy spójności, są po prostu nie do przyjęcia. </w:t>
      </w:r>
    </w:p>
    <w:p w:rsidR="00555A18" w:rsidRPr="00555A18" w:rsidRDefault="00555A18" w:rsidP="00555A18">
      <w:pPr>
        <w:spacing w:after="120" w:line="252" w:lineRule="auto"/>
        <w:jc w:val="both"/>
        <w:rPr>
          <w:szCs w:val="21"/>
        </w:rPr>
      </w:pPr>
      <w:r>
        <w:t xml:space="preserve">Platforma oraz organ doradczy powinny należycie rozpatrzyć rozporządzenie 2020/852, zgodnie z którym podczas ustanawiania i aktualizacji technicznych kryteriów kwalifikacji Komisja powinna uwzględniać „stosowne prawo Unii”. Stanowi to główny element </w:t>
      </w:r>
      <w:r w:rsidR="007B4CD2">
        <w:t>jej</w:t>
      </w:r>
      <w:r>
        <w:t xml:space="preserve"> mandatu, a</w:t>
      </w:r>
      <w:r w:rsidR="007B4CD2">
        <w:t> </w:t>
      </w:r>
      <w:r>
        <w:t>zalecenia dotyczące określenia technicznych kryteriów kwalifikacji, które są niespójne lub niezgodne z istniejącymi środkami, a w szczególności z WPR, są po prostu nie do przyjęcia.</w:t>
      </w:r>
    </w:p>
    <w:p w:rsidR="00555A18" w:rsidRPr="008A02EC" w:rsidRDefault="00555A18" w:rsidP="00555A18">
      <w:pPr>
        <w:spacing w:after="120" w:line="252" w:lineRule="auto"/>
        <w:jc w:val="both"/>
        <w:rPr>
          <w:szCs w:val="21"/>
        </w:rPr>
      </w:pPr>
    </w:p>
    <w:p w:rsidR="00555A18" w:rsidRPr="00555A18" w:rsidRDefault="00555A18" w:rsidP="00555A18">
      <w:pPr>
        <w:spacing w:after="120" w:line="252" w:lineRule="auto"/>
        <w:jc w:val="both"/>
        <w:rPr>
          <w:b/>
          <w:szCs w:val="21"/>
        </w:rPr>
      </w:pPr>
      <w:r>
        <w:rPr>
          <w:b/>
          <w:szCs w:val="21"/>
        </w:rPr>
        <w:t>Żadnych nowych celów bez oceny skutków</w:t>
      </w:r>
    </w:p>
    <w:p w:rsidR="00555A18" w:rsidRPr="00555A18" w:rsidRDefault="00555A18" w:rsidP="00555A18">
      <w:pPr>
        <w:spacing w:after="120" w:line="252" w:lineRule="auto"/>
        <w:jc w:val="both"/>
        <w:rPr>
          <w:szCs w:val="21"/>
        </w:rPr>
      </w:pPr>
      <w:r>
        <w:t>Copa i Cogeca stwierdziły, że wiele z zaleceń odnoszących się do naszych sektorów wprowadza z wyprzedzeniem elementy kluczowe dla innych aktualnych zmian zachodzących w politykach. Odnotowaliśmy, że kryteria ilościowe zaproponowane przez Platformę opierają się na celach w zakresie redukcji ze strategii „od pola do stołu” i strategii różnorodności biologicznej, które mają być realizowane na szczeblu UE. Jesteśmy jednak zaskoczeni ich prostym przeniesieniem na gospodarstwa. W związku z tym, Copa i Cogeca podkreślają, że przed ustanowieniem nierealistycznych celów i kryteriów należy przeprowadzić ocenę skumulowanych skutków, w szczególności dla bezpieczeństwa żywnościowego i konkurencyjności, a także analizę wykonalności, które są warunkami sine qua non.</w:t>
      </w:r>
    </w:p>
    <w:p w:rsidR="00555A18" w:rsidRPr="00555A18" w:rsidRDefault="00555A18" w:rsidP="00555A18">
      <w:pPr>
        <w:spacing w:after="120" w:line="252" w:lineRule="auto"/>
        <w:jc w:val="both"/>
        <w:rPr>
          <w:szCs w:val="21"/>
        </w:rPr>
      </w:pPr>
      <w:r>
        <w:t>Bardzo ważne jest przeprowadzenie takiej oceny skutków przed przyjęciem kryteriów</w:t>
      </w:r>
      <w:r w:rsidR="007B4CD2">
        <w:t xml:space="preserve"> technicznych. Obecnie</w:t>
      </w:r>
      <w:r>
        <w:t xml:space="preserve"> brakuje</w:t>
      </w:r>
      <w:r w:rsidR="007B4CD2">
        <w:t xml:space="preserve"> jednak</w:t>
      </w:r>
      <w:r>
        <w:t xml:space="preserve"> rozumowania logicznego łączącego problem z jego przyczynami i celami, a także opcjami politycznymi mającymi doprowadzić do jego rozwiązania. Również skutki gospodarcze i społeczne (kogo i w jaki sposób one dotkną) oraz wpływ na ogólną konkurencyjności europejskich przedsiębiorstw nie są jasne. </w:t>
      </w:r>
    </w:p>
    <w:p w:rsidR="00555A18" w:rsidRPr="00555A18" w:rsidRDefault="00555A18" w:rsidP="00555A18">
      <w:pPr>
        <w:spacing w:after="120" w:line="252" w:lineRule="auto"/>
        <w:jc w:val="both"/>
        <w:rPr>
          <w:szCs w:val="21"/>
        </w:rPr>
      </w:pPr>
      <w:r>
        <w:t>Copa i Cogeca ponownie pragną podkreślić, że wszystkie połączone akty prawne, powiązane z rozporządzeniem w sprawie zrównoważonego finansowania, powinny ułatwić dostęp do finansowania transformacji i ograniczyć obciążenia administracyjne oraz wzrost kosztów zarówno zrównoważonych jak i tradycyjnych usług finansowych. </w:t>
      </w:r>
    </w:p>
    <w:p w:rsidR="00555A18" w:rsidRPr="008A02EC" w:rsidRDefault="00555A18" w:rsidP="00555A18">
      <w:pPr>
        <w:spacing w:after="120" w:line="252" w:lineRule="auto"/>
        <w:jc w:val="both"/>
        <w:rPr>
          <w:szCs w:val="21"/>
        </w:rPr>
      </w:pPr>
    </w:p>
    <w:p w:rsidR="00555A18" w:rsidRPr="00555A18" w:rsidRDefault="00555A18" w:rsidP="00555A18">
      <w:pPr>
        <w:spacing w:after="120" w:line="252" w:lineRule="auto"/>
        <w:jc w:val="both"/>
        <w:rPr>
          <w:b/>
          <w:szCs w:val="21"/>
        </w:rPr>
      </w:pPr>
      <w:r>
        <w:rPr>
          <w:b/>
          <w:szCs w:val="21"/>
        </w:rPr>
        <w:t>Poprzyjmy transformację - razem z rolnikami (ekspertami „w terenie”)</w:t>
      </w:r>
    </w:p>
    <w:p w:rsidR="00555A18" w:rsidRPr="00555A18" w:rsidRDefault="00555A18" w:rsidP="00555A18">
      <w:pPr>
        <w:spacing w:after="120" w:line="252" w:lineRule="auto"/>
        <w:jc w:val="both"/>
        <w:rPr>
          <w:szCs w:val="21"/>
        </w:rPr>
      </w:pPr>
      <w:r>
        <w:t xml:space="preserve">Platforma i Komisja powinny pamiętać, że trzeba zapewnić wystarczającą jasność i pewność prawa, a przepisy muszą być przewidywalne i łatwe w zastosowaniu, by uniknąć obciążających kosztów zgodności spoczywających na barkach podmiotów gospodarczych. Dlatego też wszystkie kryteria i wnioski, które zaproponuje Komisja muszą być realistyczne i opierać się na dowodach naukowych, a co ważniejsze, muszą zostać opracowane w sposób sprzyjający transformacji. </w:t>
      </w:r>
    </w:p>
    <w:p w:rsidR="00555A18" w:rsidRPr="00555A18" w:rsidRDefault="00555A18" w:rsidP="00555A18">
      <w:pPr>
        <w:jc w:val="both"/>
        <w:rPr>
          <w:szCs w:val="21"/>
        </w:rPr>
      </w:pPr>
      <w:r>
        <w:t xml:space="preserve">Podsumowując, Komisja powinna zasadniczo zmienić swoje zalecenia dotyczące działalności rolniczej po przeprowadzeniu konsultacji z zainteresowanymi stronami </w:t>
      </w:r>
      <w:r w:rsidR="007B4CD2">
        <w:t xml:space="preserve">z </w:t>
      </w:r>
      <w:r>
        <w:t xml:space="preserve">sektora rolnego i ekspertami działającymi w terenie. Zdecydowanie zachęcamy Komisję do nawiązania otwartej i wyważonej dyskusji z ekspertami na temat dalszych kroków i do zebrania informacji od praktyków do opracowania technicznych kryteriów kwalifikacji i wykonywalnego, istotnego wkładu. </w:t>
      </w:r>
    </w:p>
    <w:p w:rsidR="00555A18" w:rsidRPr="008A02EC" w:rsidRDefault="00555A18" w:rsidP="00555A18">
      <w:pPr>
        <w:jc w:val="both"/>
        <w:rPr>
          <w:szCs w:val="21"/>
        </w:rPr>
      </w:pPr>
    </w:p>
    <w:p w:rsidR="00555A18" w:rsidRPr="00555A18" w:rsidRDefault="00555A18" w:rsidP="00555A18">
      <w:pPr>
        <w:jc w:val="both"/>
        <w:rPr>
          <w:szCs w:val="21"/>
        </w:rPr>
      </w:pPr>
      <w:r>
        <w:t>Europejscy rolnicy i spółdzielnie rolnicze nie są w stanie poprzeć zaleceń Platformy.</w:t>
      </w:r>
    </w:p>
    <w:p w:rsidR="003F360C" w:rsidRPr="008A02EC" w:rsidRDefault="003F360C" w:rsidP="00555A18">
      <w:pPr>
        <w:spacing w:after="120"/>
        <w:ind w:right="-54"/>
        <w:jc w:val="both"/>
        <w:rPr>
          <w:szCs w:val="21"/>
        </w:rPr>
      </w:pPr>
    </w:p>
    <w:p w:rsidR="003F360C" w:rsidRPr="00555A18" w:rsidRDefault="003F360C" w:rsidP="00555A18">
      <w:pPr>
        <w:spacing w:after="200"/>
        <w:jc w:val="both"/>
        <w:rPr>
          <w:szCs w:val="21"/>
        </w:rPr>
      </w:pPr>
    </w:p>
    <w:p w:rsidR="003F360C" w:rsidRDefault="00555A18" w:rsidP="00555A18">
      <w:pPr>
        <w:spacing w:after="200"/>
        <w:jc w:val="both"/>
        <w:rPr>
          <w:b/>
          <w:szCs w:val="21"/>
        </w:rPr>
      </w:pPr>
      <w:r>
        <w:rPr>
          <w:b/>
          <w:szCs w:val="21"/>
        </w:rPr>
        <w:t>-KONIEC-</w:t>
      </w:r>
    </w:p>
    <w:p w:rsidR="00555A18" w:rsidRDefault="00555A18" w:rsidP="00555A18">
      <w:pPr>
        <w:spacing w:after="200"/>
        <w:jc w:val="both"/>
        <w:rPr>
          <w:b/>
          <w:szCs w:val="21"/>
        </w:rPr>
      </w:pPr>
    </w:p>
    <w:p w:rsidR="00555A18" w:rsidRPr="00555A18" w:rsidRDefault="00555A18" w:rsidP="00555A18">
      <w:pPr>
        <w:spacing w:after="200"/>
        <w:jc w:val="both"/>
        <w:rPr>
          <w:b/>
          <w:szCs w:val="21"/>
        </w:rPr>
      </w:pPr>
      <w:r>
        <w:t>Tłumaczenie na EN, DE, ES ,FR, IT i RO będzie niedługo dostępne na stronie internetowej Copa-Cogeca.</w:t>
      </w:r>
    </w:p>
    <w:p w:rsidR="003F360C" w:rsidRPr="00555A18" w:rsidRDefault="003F360C" w:rsidP="00555A18">
      <w:pPr>
        <w:spacing w:after="200"/>
        <w:rPr>
          <w:szCs w:val="21"/>
        </w:rPr>
      </w:pPr>
    </w:p>
    <w:tbl>
      <w:tblPr>
        <w:tblpPr w:leftFromText="142" w:rightFromText="142" w:vertAnchor="text" w:horzAnchor="margin" w:tblpX="1" w:tblpY="1"/>
        <w:tblOverlap w:val="never"/>
        <w:tblW w:w="9645" w:type="dxa"/>
        <w:tblLayout w:type="fixed"/>
        <w:tblCellMar>
          <w:left w:w="0" w:type="dxa"/>
          <w:right w:w="0" w:type="dxa"/>
        </w:tblCellMar>
        <w:tblLook w:val="01E0"/>
      </w:tblPr>
      <w:tblGrid>
        <w:gridCol w:w="4823"/>
        <w:gridCol w:w="4822"/>
      </w:tblGrid>
      <w:tr w:rsidR="003F360C" w:rsidRPr="00555A18" w:rsidTr="00A81C67">
        <w:trPr>
          <w:cantSplit/>
          <w:trHeight w:val="137"/>
        </w:trPr>
        <w:tc>
          <w:tcPr>
            <w:tcW w:w="9645" w:type="dxa"/>
            <w:gridSpan w:val="2"/>
            <w:tcBorders>
              <w:top w:val="single" w:sz="2" w:space="0" w:color="auto"/>
            </w:tcBorders>
            <w:shd w:val="clear" w:color="auto" w:fill="auto"/>
            <w:tcMar>
              <w:top w:w="142" w:type="dxa"/>
              <w:bottom w:w="142" w:type="dxa"/>
            </w:tcMar>
            <w:vAlign w:val="bottom"/>
          </w:tcPr>
          <w:p w:rsidR="003F360C" w:rsidRPr="00555A18" w:rsidRDefault="003F360C" w:rsidP="00555A18">
            <w:pPr>
              <w:pStyle w:val="Disclaimer"/>
              <w:framePr w:hSpace="0" w:wrap="auto" w:vAnchor="margin" w:hAnchor="text" w:xAlign="left" w:yAlign="inline"/>
              <w:suppressOverlap w:val="0"/>
              <w:rPr>
                <w:color w:val="auto"/>
                <w:sz w:val="21"/>
                <w:szCs w:val="21"/>
              </w:rPr>
            </w:pPr>
            <w:r>
              <w:rPr>
                <w:color w:val="auto"/>
                <w:sz w:val="21"/>
                <w:szCs w:val="21"/>
              </w:rPr>
              <w:t>Dalszych informacji udziela:</w:t>
            </w:r>
          </w:p>
        </w:tc>
      </w:tr>
      <w:tr w:rsidR="003F360C" w:rsidRPr="00555A18" w:rsidTr="00A81C67">
        <w:tc>
          <w:tcPr>
            <w:tcW w:w="9645" w:type="dxa"/>
            <w:tcBorders>
              <w:bottom w:val="single" w:sz="2" w:space="0" w:color="auto"/>
            </w:tcBorders>
            <w:shd w:val="clear" w:color="auto" w:fill="auto"/>
            <w:tcMar>
              <w:top w:w="0" w:type="dxa"/>
              <w:bottom w:w="312" w:type="dxa"/>
            </w:tcMar>
            <w:vAlign w:val="bottom"/>
          </w:tcPr>
          <w:p w:rsidR="003F360C" w:rsidRPr="00555A18" w:rsidRDefault="00555A18" w:rsidP="00555A18">
            <w:pPr>
              <w:rPr>
                <w:szCs w:val="21"/>
              </w:rPr>
            </w:pPr>
            <w:bookmarkStart w:id="0" w:name="Text8"/>
            <w:r>
              <w:rPr>
                <w:b/>
                <w:szCs w:val="21"/>
              </w:rPr>
              <w:t>Oana Neagu</w:t>
            </w:r>
            <w:r>
              <w:rPr>
                <w:b/>
                <w:szCs w:val="21"/>
              </w:rPr>
              <w:br/>
            </w:r>
            <w:bookmarkEnd w:id="0"/>
            <w:r>
              <w:lastRenderedPageBreak/>
              <w:t>Dyrektorka do spraw ogólnych</w:t>
            </w:r>
          </w:p>
          <w:p w:rsidR="003F360C" w:rsidRPr="00555A18" w:rsidRDefault="0082088E" w:rsidP="00555A18">
            <w:pPr>
              <w:pStyle w:val="Disclaimer"/>
              <w:framePr w:hSpace="0" w:wrap="auto" w:vAnchor="margin" w:hAnchor="text" w:xAlign="left" w:yAlign="inline"/>
              <w:suppressOverlap w:val="0"/>
              <w:rPr>
                <w:color w:val="000000"/>
                <w:sz w:val="21"/>
                <w:szCs w:val="21"/>
              </w:rPr>
            </w:pPr>
            <w:hyperlink r:id="rId7" w:history="1">
              <w:r w:rsidR="00D15113">
                <w:rPr>
                  <w:rStyle w:val="Hipercze"/>
                  <w:sz w:val="21"/>
                  <w:szCs w:val="21"/>
                </w:rPr>
                <w:t>Oana.Neagu@copa-cogeca.eu</w:t>
              </w:r>
            </w:hyperlink>
            <w:r w:rsidR="00D15113">
              <w:rPr>
                <w:color w:val="000000"/>
                <w:sz w:val="21"/>
                <w:szCs w:val="21"/>
              </w:rPr>
              <w:t xml:space="preserve"> </w:t>
            </w:r>
          </w:p>
          <w:p w:rsidR="00555A18" w:rsidRPr="008A02EC" w:rsidRDefault="00555A18" w:rsidP="00555A18">
            <w:pPr>
              <w:pStyle w:val="Disclaimer"/>
              <w:framePr w:hSpace="0" w:wrap="auto" w:vAnchor="margin" w:hAnchor="text" w:xAlign="left" w:yAlign="inline"/>
              <w:suppressOverlap w:val="0"/>
              <w:rPr>
                <w:color w:val="000000"/>
                <w:sz w:val="21"/>
                <w:szCs w:val="21"/>
              </w:rPr>
            </w:pPr>
          </w:p>
          <w:p w:rsidR="00555A18" w:rsidRPr="00555A18" w:rsidRDefault="00555A18" w:rsidP="00555A18">
            <w:pPr>
              <w:rPr>
                <w:szCs w:val="21"/>
              </w:rPr>
            </w:pPr>
            <w:r>
              <w:rPr>
                <w:b/>
                <w:szCs w:val="21"/>
              </w:rPr>
              <w:t>Umberto Di Pasquo</w:t>
            </w:r>
            <w:r>
              <w:rPr>
                <w:b/>
                <w:szCs w:val="21"/>
              </w:rPr>
              <w:br/>
            </w:r>
            <w:r>
              <w:t>Dyrektor ds. administracyjnych</w:t>
            </w:r>
          </w:p>
          <w:p w:rsidR="00555A18" w:rsidRPr="00555A18" w:rsidRDefault="0082088E" w:rsidP="00555A18">
            <w:pPr>
              <w:pStyle w:val="Disclaimer"/>
              <w:framePr w:hSpace="0" w:wrap="auto" w:vAnchor="margin" w:hAnchor="text" w:xAlign="left" w:yAlign="inline"/>
              <w:suppressOverlap w:val="0"/>
              <w:rPr>
                <w:color w:val="000000"/>
                <w:sz w:val="21"/>
                <w:szCs w:val="21"/>
              </w:rPr>
            </w:pPr>
            <w:hyperlink r:id="rId8" w:history="1">
              <w:r w:rsidR="00D15113">
                <w:rPr>
                  <w:rStyle w:val="Hipercze"/>
                  <w:sz w:val="21"/>
                  <w:szCs w:val="21"/>
                </w:rPr>
                <w:t>Umberto.DiPasquo@copa-cogeca.eu</w:t>
              </w:r>
            </w:hyperlink>
            <w:r w:rsidR="00D15113">
              <w:rPr>
                <w:color w:val="000000"/>
                <w:sz w:val="21"/>
                <w:szCs w:val="21"/>
              </w:rPr>
              <w:t xml:space="preserve"> </w:t>
            </w:r>
          </w:p>
        </w:tc>
        <w:tc>
          <w:tcPr>
            <w:tcW w:w="9645" w:type="dxa"/>
            <w:tcBorders>
              <w:bottom w:val="single" w:sz="2" w:space="0" w:color="auto"/>
            </w:tcBorders>
            <w:shd w:val="clear" w:color="auto" w:fill="auto"/>
            <w:tcMar>
              <w:top w:w="0" w:type="dxa"/>
            </w:tcMar>
            <w:vAlign w:val="bottom"/>
          </w:tcPr>
          <w:p w:rsidR="005213E3" w:rsidRPr="00555A18" w:rsidRDefault="00555A18" w:rsidP="00555A18">
            <w:pPr>
              <w:pStyle w:val="Disclaimer"/>
              <w:framePr w:hSpace="0" w:wrap="auto" w:vAnchor="margin" w:hAnchor="text" w:xAlign="left" w:yAlign="inline"/>
              <w:suppressOverlap w:val="0"/>
              <w:rPr>
                <w:b/>
                <w:color w:val="auto"/>
                <w:sz w:val="21"/>
                <w:szCs w:val="21"/>
              </w:rPr>
            </w:pPr>
            <w:r>
              <w:rPr>
                <w:b/>
                <w:color w:val="auto"/>
                <w:sz w:val="21"/>
                <w:szCs w:val="21"/>
              </w:rPr>
              <w:lastRenderedPageBreak/>
              <w:t>Ksenija Simovic</w:t>
            </w:r>
          </w:p>
          <w:p w:rsidR="005213E3" w:rsidRPr="00555A18" w:rsidRDefault="00555A18" w:rsidP="00555A18">
            <w:pPr>
              <w:pStyle w:val="Disclaimer"/>
              <w:framePr w:hSpace="0" w:wrap="auto" w:vAnchor="margin" w:hAnchor="text" w:xAlign="left" w:yAlign="inline"/>
              <w:suppressOverlap w:val="0"/>
              <w:rPr>
                <w:color w:val="auto"/>
                <w:sz w:val="21"/>
                <w:szCs w:val="21"/>
              </w:rPr>
            </w:pPr>
            <w:r>
              <w:rPr>
                <w:color w:val="auto"/>
                <w:sz w:val="21"/>
                <w:szCs w:val="21"/>
              </w:rPr>
              <w:lastRenderedPageBreak/>
              <w:t>Kierowniczka ds. komunikacji</w:t>
            </w:r>
          </w:p>
          <w:p w:rsidR="005213E3" w:rsidRPr="00555A18" w:rsidRDefault="005213E3" w:rsidP="00555A18">
            <w:pPr>
              <w:pStyle w:val="Disclaimer"/>
              <w:framePr w:hSpace="0" w:wrap="auto" w:vAnchor="margin" w:hAnchor="text" w:xAlign="left" w:yAlign="inline"/>
              <w:suppressOverlap w:val="0"/>
              <w:rPr>
                <w:color w:val="auto"/>
                <w:sz w:val="21"/>
                <w:szCs w:val="21"/>
              </w:rPr>
            </w:pPr>
            <w:r>
              <w:rPr>
                <w:color w:val="auto"/>
                <w:sz w:val="21"/>
                <w:szCs w:val="21"/>
              </w:rPr>
              <w:t>Tel. kom. + 32 473 663 071</w:t>
            </w:r>
          </w:p>
          <w:p w:rsidR="003F360C" w:rsidRPr="00555A18" w:rsidRDefault="0082088E" w:rsidP="00555A18">
            <w:pPr>
              <w:pStyle w:val="Disclaimer"/>
              <w:framePr w:hSpace="0" w:wrap="auto" w:vAnchor="margin" w:hAnchor="text" w:xAlign="left" w:yAlign="inline"/>
              <w:suppressOverlap w:val="0"/>
              <w:rPr>
                <w:color w:val="auto"/>
                <w:sz w:val="21"/>
                <w:szCs w:val="21"/>
              </w:rPr>
            </w:pPr>
            <w:hyperlink r:id="rId9" w:history="1">
              <w:r w:rsidR="00D15113">
                <w:rPr>
                  <w:rStyle w:val="Hipercze"/>
                  <w:sz w:val="21"/>
                  <w:szCs w:val="21"/>
                </w:rPr>
                <w:t>Ksenija.Simovic@copa-cogeca.eu</w:t>
              </w:r>
            </w:hyperlink>
            <w:r w:rsidR="00D15113">
              <w:rPr>
                <w:color w:val="auto"/>
                <w:sz w:val="21"/>
                <w:szCs w:val="21"/>
              </w:rPr>
              <w:t xml:space="preserve"> </w:t>
            </w:r>
          </w:p>
        </w:tc>
      </w:tr>
      <w:tr w:rsidR="003F360C" w:rsidRPr="00555A18" w:rsidTr="00A81C67">
        <w:tc>
          <w:tcPr>
            <w:tcW w:w="9645" w:type="dxa"/>
            <w:gridSpan w:val="2"/>
            <w:tcBorders>
              <w:top w:val="single" w:sz="2" w:space="0" w:color="auto"/>
              <w:bottom w:val="single" w:sz="2" w:space="0" w:color="auto"/>
            </w:tcBorders>
            <w:shd w:val="clear" w:color="auto" w:fill="auto"/>
            <w:tcMar>
              <w:top w:w="45" w:type="dxa"/>
              <w:bottom w:w="266" w:type="dxa"/>
            </w:tcMar>
          </w:tcPr>
          <w:p w:rsidR="003F360C" w:rsidRPr="00555A18" w:rsidRDefault="003F360C" w:rsidP="00555A18">
            <w:pPr>
              <w:pStyle w:val="DisclaimerStandard"/>
              <w:framePr w:hSpace="0" w:wrap="auto" w:vAnchor="margin" w:hAnchor="text" w:xAlign="left" w:yAlign="inline"/>
              <w:suppressOverlap w:val="0"/>
              <w:rPr>
                <w:color w:val="auto"/>
                <w:sz w:val="21"/>
                <w:szCs w:val="21"/>
              </w:rPr>
            </w:pPr>
            <w:r>
              <w:rPr>
                <w:sz w:val="21"/>
                <w:szCs w:val="21"/>
              </w:rPr>
              <w:lastRenderedPageBreak/>
              <w:t xml:space="preserve"> </w:t>
            </w:r>
            <w:fldSimple w:instr=" DOCPROPERTY  PWThreadMemo  \* MERGEFORMAT ">
              <w:r w:rsidRPr="00555A18">
                <w:rPr>
                  <w:b/>
                  <w:sz w:val="21"/>
                  <w:szCs w:val="21"/>
                </w:rPr>
                <w:t>CDP(22)1965:1</w:t>
              </w:r>
            </w:fldSimple>
          </w:p>
        </w:tc>
      </w:tr>
    </w:tbl>
    <w:p w:rsidR="003F360C" w:rsidRDefault="003F360C" w:rsidP="00555A18">
      <w:pPr>
        <w:spacing w:after="200"/>
        <w:jc w:val="both"/>
      </w:pPr>
    </w:p>
    <w:sectPr w:rsidR="003F360C" w:rsidSect="00A02C29">
      <w:footerReference w:type="default" r:id="rId10"/>
      <w:headerReference w:type="first" r:id="rId11"/>
      <w:footerReference w:type="first" r:id="rId12"/>
      <w:pgSz w:w="11906" w:h="16838" w:code="9"/>
      <w:pgMar w:top="1021" w:right="1826" w:bottom="1797" w:left="1134" w:header="573" w:footer="4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4D2" w:rsidRDefault="009854D2">
      <w:r>
        <w:separator/>
      </w:r>
    </w:p>
  </w:endnote>
  <w:endnote w:type="continuationSeparator" w:id="0">
    <w:p w:rsidR="009854D2" w:rsidRDefault="00985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E9" w:rsidRDefault="0082088E">
    <w:pPr>
      <w:pStyle w:val="Page"/>
      <w:framePr w:wrap="around"/>
    </w:pPr>
    <w:r>
      <w:fldChar w:fldCharType="begin"/>
    </w:r>
    <w:r w:rsidR="00C313F4">
      <w:instrText xml:space="preserve"> PAGE  \* Arabic  \* MERGEFORMAT </w:instrText>
    </w:r>
    <w:r>
      <w:fldChar w:fldCharType="separate"/>
    </w:r>
    <w:r w:rsidR="008E156C">
      <w:rPr>
        <w:noProof/>
      </w:rPr>
      <w:t>4</w:t>
    </w:r>
    <w:r>
      <w:fldChar w:fldCharType="end"/>
    </w:r>
  </w:p>
  <w:p w:rsidR="00C976E9" w:rsidRDefault="00C976E9">
    <w:pPr>
      <w:pStyle w:val="NumPage"/>
      <w:framePr w:wrap="around"/>
    </w:pPr>
    <w:r>
      <w:t xml:space="preserve">| </w:t>
    </w:r>
    <w:fldSimple w:instr=" NUMPAGES  \* Arabic  \* MERGEFORMAT ">
      <w:r w:rsidR="008E156C">
        <w:rPr>
          <w:noProof/>
        </w:rPr>
        <w:t>4</w:t>
      </w:r>
    </w:fldSimple>
  </w:p>
  <w:p w:rsidR="00C976E9" w:rsidRDefault="00C976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769" w:type="dxa"/>
      <w:tblLayout w:type="fixed"/>
      <w:tblCellMar>
        <w:left w:w="0" w:type="dxa"/>
        <w:right w:w="0" w:type="dxa"/>
      </w:tblCellMar>
      <w:tblLook w:val="01E0"/>
    </w:tblPr>
    <w:tblGrid>
      <w:gridCol w:w="7769"/>
    </w:tblGrid>
    <w:tr w:rsidR="003F360C" w:rsidTr="00A81C67">
      <w:tc>
        <w:tcPr>
          <w:tcW w:w="7769" w:type="dxa"/>
          <w:shd w:val="clear" w:color="auto" w:fill="auto"/>
        </w:tcPr>
        <w:p w:rsidR="003F360C" w:rsidRPr="00C17CB7" w:rsidRDefault="003F360C" w:rsidP="00A81C67">
          <w:pPr>
            <w:pStyle w:val="Stopka"/>
            <w:rPr>
              <w:color w:val="auto"/>
            </w:rPr>
          </w:pPr>
          <w:r>
            <w:rPr>
              <w:b/>
              <w:color w:val="auto"/>
            </w:rPr>
            <w:t>Copa - Cogeca |</w:t>
          </w:r>
          <w:r>
            <w:rPr>
              <w:color w:val="auto"/>
            </w:rPr>
            <w:t xml:space="preserve"> Europejscy Rolnicy Europejskie Spółdzielnie Rolnicze</w:t>
          </w:r>
        </w:p>
        <w:p w:rsidR="003F360C" w:rsidRPr="008A02EC" w:rsidRDefault="003F360C" w:rsidP="00A81C67">
          <w:pPr>
            <w:pStyle w:val="Stopka"/>
            <w:rPr>
              <w:color w:val="auto"/>
              <w:lang w:val="fr-BE"/>
            </w:rPr>
          </w:pPr>
          <w:r w:rsidRPr="008A02EC">
            <w:rPr>
              <w:color w:val="auto"/>
              <w:lang w:val="fr-BE"/>
            </w:rPr>
            <w:t xml:space="preserve">61, Rue de Trèves | B - 1040 Bruksela | www.copa-cogeca.eu </w:t>
          </w:r>
        </w:p>
        <w:p w:rsidR="003F360C" w:rsidRPr="00C17CB7" w:rsidRDefault="009265DD" w:rsidP="00A81C67">
          <w:pPr>
            <w:pStyle w:val="Stopka"/>
          </w:pPr>
          <w:r>
            <w:rPr>
              <w:color w:val="auto"/>
            </w:rPr>
            <w:t>Numer rejestru służącego przejrzystości UE | Copa 44856881231-49  | Cogeca 09586631237-74</w:t>
          </w:r>
        </w:p>
      </w:tc>
    </w:tr>
  </w:tbl>
  <w:p w:rsidR="003F360C" w:rsidRDefault="003F360C" w:rsidP="003F360C">
    <w:pPr>
      <w:pStyle w:val="Stopka"/>
    </w:pPr>
  </w:p>
  <w:p w:rsidR="00C976E9" w:rsidRPr="003F360C" w:rsidRDefault="00C976E9" w:rsidP="003F36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4D2" w:rsidRDefault="009854D2">
      <w:r>
        <w:separator/>
      </w:r>
    </w:p>
  </w:footnote>
  <w:footnote w:type="continuationSeparator" w:id="0">
    <w:p w:rsidR="009854D2" w:rsidRDefault="00985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15" w:type="dxa"/>
      <w:tblLayout w:type="fixed"/>
      <w:tblCellMar>
        <w:left w:w="0" w:type="dxa"/>
        <w:right w:w="0" w:type="dxa"/>
      </w:tblCellMar>
      <w:tblLook w:val="01E0"/>
    </w:tblPr>
    <w:tblGrid>
      <w:gridCol w:w="5940"/>
      <w:gridCol w:w="3775"/>
    </w:tblGrid>
    <w:tr w:rsidR="00C976E9" w:rsidTr="00C24A03">
      <w:trPr>
        <w:trHeight w:val="1076"/>
      </w:trPr>
      <w:tc>
        <w:tcPr>
          <w:tcW w:w="5940" w:type="dxa"/>
          <w:shd w:val="clear" w:color="auto" w:fill="auto"/>
        </w:tcPr>
        <w:p w:rsidR="00C976E9" w:rsidRDefault="00C976E9">
          <w:pPr>
            <w:pStyle w:val="Nagwek"/>
          </w:pPr>
        </w:p>
      </w:tc>
      <w:tc>
        <w:tcPr>
          <w:tcW w:w="3775" w:type="dxa"/>
          <w:shd w:val="clear" w:color="auto" w:fill="auto"/>
        </w:tcPr>
        <w:p w:rsidR="00C976E9" w:rsidRDefault="008E156C" w:rsidP="00C24A03">
          <w:pPr>
            <w:pStyle w:val="Nagwek"/>
            <w:jc w:val="right"/>
          </w:pPr>
          <w:r>
            <w:rPr>
              <w:noProof/>
              <w:lang w:eastAsia="pl-PL"/>
            </w:rPr>
            <w:drawing>
              <wp:inline distT="0" distB="0" distL="0" distR="0">
                <wp:extent cx="2362200" cy="590550"/>
                <wp:effectExtent l="19050" t="0" r="0" b="0"/>
                <wp:docPr id="1" name="Obraz 1" descr="CopaCogeca_4C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Cogeca_4C_C"/>
                        <pic:cNvPicPr>
                          <a:picLocks noChangeAspect="1" noChangeArrowheads="1"/>
                        </pic:cNvPicPr>
                      </pic:nvPicPr>
                      <pic:blipFill>
                        <a:blip r:embed="rId1"/>
                        <a:srcRect/>
                        <a:stretch>
                          <a:fillRect/>
                        </a:stretch>
                      </pic:blipFill>
                      <pic:spPr bwMode="auto">
                        <a:xfrm>
                          <a:off x="0" y="0"/>
                          <a:ext cx="2362200" cy="590550"/>
                        </a:xfrm>
                        <a:prstGeom prst="rect">
                          <a:avLst/>
                        </a:prstGeom>
                        <a:noFill/>
                        <a:ln w="9525">
                          <a:noFill/>
                          <a:miter lim="800000"/>
                          <a:headEnd/>
                          <a:tailEnd/>
                        </a:ln>
                      </pic:spPr>
                    </pic:pic>
                  </a:graphicData>
                </a:graphic>
              </wp:inline>
            </w:drawing>
          </w:r>
        </w:p>
      </w:tc>
    </w:tr>
  </w:tbl>
  <w:p w:rsidR="00C976E9" w:rsidRDefault="00C976E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850DB82"/>
    <w:lvl w:ilvl="0">
      <w:start w:val="1"/>
      <w:numFmt w:val="bullet"/>
      <w:lvlText w:val=""/>
      <w:lvlJc w:val="left"/>
      <w:pPr>
        <w:tabs>
          <w:tab w:val="num" w:pos="1209"/>
        </w:tabs>
        <w:ind w:left="1209"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801"/>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63545E"/>
    <w:rsid w:val="00010F0A"/>
    <w:rsid w:val="000F7C1E"/>
    <w:rsid w:val="001166C7"/>
    <w:rsid w:val="001632A0"/>
    <w:rsid w:val="00174B3E"/>
    <w:rsid w:val="001A66B2"/>
    <w:rsid w:val="001E4DD1"/>
    <w:rsid w:val="001F7058"/>
    <w:rsid w:val="00202DAB"/>
    <w:rsid w:val="00206B10"/>
    <w:rsid w:val="002435CE"/>
    <w:rsid w:val="00290EC0"/>
    <w:rsid w:val="002C2DEF"/>
    <w:rsid w:val="002F1964"/>
    <w:rsid w:val="002F4F9A"/>
    <w:rsid w:val="00380592"/>
    <w:rsid w:val="0038455A"/>
    <w:rsid w:val="003A63F4"/>
    <w:rsid w:val="003F360C"/>
    <w:rsid w:val="00463591"/>
    <w:rsid w:val="004F377E"/>
    <w:rsid w:val="004F478B"/>
    <w:rsid w:val="00514FA6"/>
    <w:rsid w:val="005213E3"/>
    <w:rsid w:val="00555A18"/>
    <w:rsid w:val="005F25BD"/>
    <w:rsid w:val="00600232"/>
    <w:rsid w:val="0063545E"/>
    <w:rsid w:val="0063559B"/>
    <w:rsid w:val="00650B07"/>
    <w:rsid w:val="006E7B90"/>
    <w:rsid w:val="0071182F"/>
    <w:rsid w:val="0071333D"/>
    <w:rsid w:val="0076642D"/>
    <w:rsid w:val="00767CE9"/>
    <w:rsid w:val="0078746D"/>
    <w:rsid w:val="007B4CD2"/>
    <w:rsid w:val="007F5534"/>
    <w:rsid w:val="0082088E"/>
    <w:rsid w:val="008469FF"/>
    <w:rsid w:val="008A02EC"/>
    <w:rsid w:val="008A2A01"/>
    <w:rsid w:val="008D11C0"/>
    <w:rsid w:val="008E156C"/>
    <w:rsid w:val="008E5415"/>
    <w:rsid w:val="009265DD"/>
    <w:rsid w:val="009727D5"/>
    <w:rsid w:val="00974A72"/>
    <w:rsid w:val="009854D2"/>
    <w:rsid w:val="009876B8"/>
    <w:rsid w:val="009A2C6A"/>
    <w:rsid w:val="00A02C29"/>
    <w:rsid w:val="00A230C5"/>
    <w:rsid w:val="00A328D7"/>
    <w:rsid w:val="00A3711E"/>
    <w:rsid w:val="00AC1890"/>
    <w:rsid w:val="00B10973"/>
    <w:rsid w:val="00B13190"/>
    <w:rsid w:val="00B17375"/>
    <w:rsid w:val="00BC2B93"/>
    <w:rsid w:val="00BD0CB8"/>
    <w:rsid w:val="00BD73D2"/>
    <w:rsid w:val="00C015DE"/>
    <w:rsid w:val="00C040B6"/>
    <w:rsid w:val="00C24A03"/>
    <w:rsid w:val="00C266D7"/>
    <w:rsid w:val="00C313F4"/>
    <w:rsid w:val="00C669D1"/>
    <w:rsid w:val="00C96A22"/>
    <w:rsid w:val="00C976E9"/>
    <w:rsid w:val="00D15113"/>
    <w:rsid w:val="00DB2970"/>
    <w:rsid w:val="00DD2AD3"/>
    <w:rsid w:val="00E31A99"/>
    <w:rsid w:val="00E70B43"/>
    <w:rsid w:val="00EC0B35"/>
    <w:rsid w:val="00EF0D52"/>
    <w:rsid w:val="00EF552A"/>
    <w:rsid w:val="00F17DE6"/>
    <w:rsid w:val="00F32FD5"/>
    <w:rsid w:val="00F962E0"/>
    <w:rsid w:val="00FA38E0"/>
    <w:rsid w:val="00FC3AA1"/>
    <w:rsid w:val="00FF5A56"/>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E70B43"/>
    <w:pPr>
      <w:spacing w:line="260" w:lineRule="atLeast"/>
    </w:pPr>
    <w:rPr>
      <w:rFonts w:ascii="Georgia" w:hAnsi="Georgia"/>
      <w:kern w:val="4"/>
      <w:sz w:val="21"/>
      <w:szCs w:val="24"/>
      <w:lang w:eastAsia="de-DE"/>
    </w:rPr>
  </w:style>
  <w:style w:type="paragraph" w:styleId="Nagwek1">
    <w:name w:val="heading 1"/>
    <w:basedOn w:val="Normalny"/>
    <w:next w:val="Normalny"/>
    <w:qFormat/>
    <w:rsid w:val="0063559B"/>
    <w:pPr>
      <w:keepNext/>
      <w:keepLines/>
      <w:spacing w:before="240" w:after="240" w:line="240" w:lineRule="auto"/>
      <w:jc w:val="both"/>
      <w:outlineLvl w:val="0"/>
    </w:pPr>
    <w:rPr>
      <w:b/>
      <w:caps/>
      <w:kern w:val="28"/>
      <w:sz w:val="24"/>
      <w:szCs w:val="20"/>
      <w:lang w:eastAsia="en-US"/>
    </w:rPr>
  </w:style>
  <w:style w:type="paragraph" w:styleId="Nagwek2">
    <w:name w:val="heading 2"/>
    <w:basedOn w:val="Nagwek1"/>
    <w:next w:val="Normalny"/>
    <w:qFormat/>
    <w:rsid w:val="0063559B"/>
    <w:pPr>
      <w:ind w:left="720" w:hanging="720"/>
      <w:outlineLvl w:val="1"/>
    </w:pPr>
    <w:rPr>
      <w:i/>
      <w:caps w:val="0"/>
    </w:rPr>
  </w:style>
  <w:style w:type="paragraph" w:styleId="Nagwek3">
    <w:name w:val="heading 3"/>
    <w:basedOn w:val="Nagwek2"/>
    <w:next w:val="Normalny"/>
    <w:qFormat/>
    <w:rsid w:val="0063559B"/>
    <w:pPr>
      <w:ind w:left="1440"/>
      <w:outlineLvl w:val="2"/>
    </w:pPr>
    <w:rPr>
      <w:i w:val="0"/>
      <w:sz w:val="21"/>
    </w:rPr>
  </w:style>
  <w:style w:type="paragraph" w:styleId="Nagwek4">
    <w:name w:val="heading 4"/>
    <w:basedOn w:val="Nagwek3"/>
    <w:next w:val="Normalny"/>
    <w:qFormat/>
    <w:rsid w:val="0071182F"/>
    <w:pPr>
      <w:outlineLvl w:val="3"/>
    </w:pPr>
  </w:style>
  <w:style w:type="paragraph" w:styleId="Nagwek5">
    <w:name w:val="heading 5"/>
    <w:basedOn w:val="Nagwek4"/>
    <w:next w:val="Nagwek4"/>
    <w:qFormat/>
    <w:rsid w:val="0071182F"/>
    <w:pPr>
      <w:outlineLvl w:val="4"/>
    </w:pPr>
  </w:style>
  <w:style w:type="paragraph" w:styleId="Nagwek6">
    <w:name w:val="heading 6"/>
    <w:basedOn w:val="Nagwek5"/>
    <w:next w:val="Normalny"/>
    <w:qFormat/>
    <w:rsid w:val="0071182F"/>
    <w:pPr>
      <w:outlineLvl w:val="5"/>
    </w:pPr>
  </w:style>
  <w:style w:type="paragraph" w:styleId="Nagwek7">
    <w:name w:val="heading 7"/>
    <w:basedOn w:val="Nagwek6"/>
    <w:next w:val="Normalny"/>
    <w:qFormat/>
    <w:rsid w:val="0071182F"/>
    <w:pPr>
      <w:outlineLvl w:val="6"/>
    </w:pPr>
  </w:style>
  <w:style w:type="paragraph" w:styleId="Nagwek8">
    <w:name w:val="heading 8"/>
    <w:basedOn w:val="Nagwek7"/>
    <w:next w:val="Normalny"/>
    <w:qFormat/>
    <w:rsid w:val="0071182F"/>
    <w:pPr>
      <w:outlineLvl w:val="7"/>
    </w:pPr>
  </w:style>
  <w:style w:type="paragraph" w:styleId="Nagwek9">
    <w:name w:val="heading 9"/>
    <w:basedOn w:val="Nagwek8"/>
    <w:next w:val="Normalny"/>
    <w:qFormat/>
    <w:rsid w:val="0071182F"/>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63545E"/>
    <w:pPr>
      <w:tabs>
        <w:tab w:val="center" w:pos="4536"/>
        <w:tab w:val="right" w:pos="9072"/>
      </w:tabs>
    </w:pPr>
  </w:style>
  <w:style w:type="paragraph" w:styleId="Stopka">
    <w:name w:val="footer"/>
    <w:basedOn w:val="Normalny"/>
    <w:rsid w:val="0063545E"/>
    <w:pPr>
      <w:tabs>
        <w:tab w:val="center" w:pos="4536"/>
        <w:tab w:val="right" w:pos="9072"/>
      </w:tabs>
      <w:spacing w:line="240" w:lineRule="atLeast"/>
    </w:pPr>
    <w:rPr>
      <w:rFonts w:ascii="Tahoma" w:hAnsi="Tahoma"/>
      <w:noProof/>
      <w:color w:val="808080"/>
      <w:sz w:val="16"/>
    </w:rPr>
  </w:style>
  <w:style w:type="table" w:styleId="Tabela-Siatka">
    <w:name w:val="Table Grid"/>
    <w:basedOn w:val="Standardowy"/>
    <w:rsid w:val="0063545E"/>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ina">
    <w:name w:val="Pagina"/>
    <w:basedOn w:val="Normalny"/>
    <w:rsid w:val="0063545E"/>
    <w:pPr>
      <w:framePr w:w="709" w:h="312" w:hRule="exact" w:hSpace="181" w:wrap="around" w:vAnchor="page" w:hAnchor="page" w:x="10689" w:y="15401" w:anchorLock="1"/>
    </w:pPr>
  </w:style>
  <w:style w:type="paragraph" w:customStyle="1" w:styleId="Page">
    <w:name w:val="Page"/>
    <w:basedOn w:val="Pagina"/>
    <w:rsid w:val="0063545E"/>
    <w:pPr>
      <w:framePr w:wrap="around" w:x="10060"/>
      <w:jc w:val="right"/>
    </w:pPr>
  </w:style>
  <w:style w:type="paragraph" w:customStyle="1" w:styleId="NumPage">
    <w:name w:val="NumPage"/>
    <w:basedOn w:val="Pagina"/>
    <w:rsid w:val="0063545E"/>
    <w:pPr>
      <w:framePr w:wrap="around" w:x="10819"/>
    </w:pPr>
  </w:style>
  <w:style w:type="paragraph" w:customStyle="1" w:styleId="white">
    <w:name w:val="white"/>
    <w:basedOn w:val="Normalny"/>
    <w:rsid w:val="0063545E"/>
    <w:pPr>
      <w:spacing w:line="240" w:lineRule="auto"/>
    </w:pPr>
    <w:rPr>
      <w:color w:val="FFFFFF"/>
      <w:sz w:val="2"/>
      <w:szCs w:val="2"/>
    </w:rPr>
  </w:style>
  <w:style w:type="paragraph" w:styleId="Data">
    <w:name w:val="Date"/>
    <w:basedOn w:val="Normalny"/>
    <w:next w:val="Headline"/>
    <w:link w:val="DataZnak"/>
    <w:rsid w:val="0063545E"/>
    <w:pPr>
      <w:spacing w:line="600" w:lineRule="atLeast"/>
    </w:pPr>
    <w:rPr>
      <w:b/>
      <w:sz w:val="52"/>
    </w:rPr>
  </w:style>
  <w:style w:type="character" w:customStyle="1" w:styleId="DataZnak">
    <w:name w:val="Data Znak"/>
    <w:link w:val="Data"/>
    <w:rsid w:val="0063545E"/>
    <w:rPr>
      <w:rFonts w:ascii="Georgia" w:hAnsi="Georgia"/>
      <w:b/>
      <w:kern w:val="4"/>
      <w:sz w:val="52"/>
      <w:szCs w:val="24"/>
      <w:lang w:eastAsia="de-DE" w:bidi="ar-SA"/>
    </w:rPr>
  </w:style>
  <w:style w:type="paragraph" w:customStyle="1" w:styleId="Headline">
    <w:name w:val="Headline"/>
    <w:basedOn w:val="Normalny"/>
    <w:next w:val="Subheadline"/>
    <w:rsid w:val="0063545E"/>
    <w:pPr>
      <w:spacing w:before="280" w:line="600" w:lineRule="atLeast"/>
    </w:pPr>
    <w:rPr>
      <w:b/>
      <w:sz w:val="52"/>
    </w:rPr>
  </w:style>
  <w:style w:type="paragraph" w:customStyle="1" w:styleId="Subheadline">
    <w:name w:val="Subheadline"/>
    <w:basedOn w:val="Headline"/>
    <w:next w:val="Normalny"/>
    <w:rsid w:val="0063545E"/>
    <w:pPr>
      <w:spacing w:before="189" w:after="246" w:line="360" w:lineRule="atLeast"/>
    </w:pPr>
    <w:rPr>
      <w:sz w:val="24"/>
    </w:rPr>
  </w:style>
  <w:style w:type="paragraph" w:customStyle="1" w:styleId="Disclaimer">
    <w:name w:val="Disclaimer"/>
    <w:basedOn w:val="Normalny"/>
    <w:rsid w:val="0063545E"/>
    <w:pPr>
      <w:framePr w:hSpace="142" w:wrap="around" w:vAnchor="page" w:hAnchor="margin" w:xAlign="right" w:y="11341"/>
      <w:spacing w:line="180" w:lineRule="atLeast"/>
      <w:suppressOverlap/>
    </w:pPr>
    <w:rPr>
      <w:color w:val="808080"/>
      <w:sz w:val="14"/>
      <w:szCs w:val="14"/>
    </w:rPr>
  </w:style>
  <w:style w:type="paragraph" w:customStyle="1" w:styleId="DisclaimerStandard">
    <w:name w:val="Disclaimer_Standard"/>
    <w:basedOn w:val="Disclaimer"/>
    <w:rsid w:val="0063545E"/>
    <w:pPr>
      <w:framePr w:wrap="around"/>
      <w:spacing w:line="260" w:lineRule="atLeast"/>
    </w:pPr>
    <w:rPr>
      <w:sz w:val="19"/>
    </w:rPr>
  </w:style>
  <w:style w:type="paragraph" w:styleId="Tekstdymka">
    <w:name w:val="Balloon Text"/>
    <w:basedOn w:val="Normalny"/>
    <w:rsid w:val="0063545E"/>
    <w:rPr>
      <w:rFonts w:ascii="Tahoma" w:hAnsi="Tahoma" w:cs="Tahoma"/>
      <w:sz w:val="16"/>
      <w:szCs w:val="16"/>
    </w:rPr>
  </w:style>
  <w:style w:type="paragraph" w:customStyle="1" w:styleId="CarChar">
    <w:name w:val="Car Char"/>
    <w:basedOn w:val="Normalny"/>
    <w:rsid w:val="0063545E"/>
    <w:pPr>
      <w:spacing w:after="160" w:line="240" w:lineRule="exact"/>
    </w:pPr>
    <w:rPr>
      <w:rFonts w:ascii="Tahoma" w:hAnsi="Tahoma"/>
      <w:kern w:val="0"/>
      <w:sz w:val="20"/>
      <w:szCs w:val="20"/>
      <w:lang w:eastAsia="en-US"/>
    </w:rPr>
  </w:style>
  <w:style w:type="character" w:styleId="Hipercze">
    <w:name w:val="Hyperlink"/>
    <w:rsid w:val="002F1964"/>
    <w:rPr>
      <w:color w:val="0000FF"/>
      <w:u w:val="single"/>
    </w:rPr>
  </w:style>
  <w:style w:type="paragraph" w:customStyle="1" w:styleId="Address">
    <w:name w:val="Address"/>
    <w:basedOn w:val="Normalny"/>
    <w:rsid w:val="00B10973"/>
    <w:pPr>
      <w:keepLines/>
      <w:spacing w:after="120" w:line="240" w:lineRule="auto"/>
      <w:ind w:left="5954"/>
      <w:jc w:val="both"/>
    </w:pPr>
    <w:rPr>
      <w:kern w:val="22"/>
      <w:szCs w:val="20"/>
      <w:lang w:eastAsia="en-US"/>
    </w:rPr>
  </w:style>
  <w:style w:type="paragraph" w:customStyle="1" w:styleId="DocumentID">
    <w:name w:val="Document ID"/>
    <w:basedOn w:val="Normalny"/>
    <w:rsid w:val="0071182F"/>
    <w:pPr>
      <w:keepLines/>
      <w:tabs>
        <w:tab w:val="left" w:pos="5103"/>
      </w:tabs>
      <w:spacing w:after="120" w:line="240" w:lineRule="auto"/>
      <w:jc w:val="both"/>
    </w:pPr>
    <w:rPr>
      <w:kern w:val="28"/>
      <w:sz w:val="22"/>
      <w:szCs w:val="20"/>
      <w:lang w:eastAsia="en-US"/>
    </w:rPr>
  </w:style>
  <w:style w:type="paragraph" w:customStyle="1" w:styleId="DoubleSignature">
    <w:name w:val="DoubleSignature"/>
    <w:basedOn w:val="Address"/>
    <w:rsid w:val="0071182F"/>
    <w:pPr>
      <w:tabs>
        <w:tab w:val="left" w:pos="5103"/>
      </w:tabs>
      <w:ind w:left="0"/>
    </w:pPr>
  </w:style>
  <w:style w:type="paragraph" w:customStyle="1" w:styleId="FaxHeader">
    <w:name w:val="Fax Header"/>
    <w:basedOn w:val="Normalny"/>
    <w:next w:val="Normalny"/>
    <w:rsid w:val="0071182F"/>
    <w:pPr>
      <w:keepLines/>
      <w:spacing w:before="120" w:after="120" w:line="240" w:lineRule="auto"/>
      <w:jc w:val="both"/>
    </w:pPr>
    <w:rPr>
      <w:kern w:val="28"/>
      <w:szCs w:val="20"/>
      <w:lang w:eastAsia="en-US"/>
    </w:rPr>
  </w:style>
  <w:style w:type="paragraph" w:customStyle="1" w:styleId="Subject">
    <w:name w:val="Subject"/>
    <w:basedOn w:val="Normalny"/>
    <w:rsid w:val="0071182F"/>
    <w:rPr>
      <w:b/>
    </w:rPr>
  </w:style>
  <w:style w:type="paragraph" w:styleId="Tytu">
    <w:name w:val="Title"/>
    <w:basedOn w:val="Normalny"/>
    <w:qFormat/>
    <w:rsid w:val="0063559B"/>
    <w:pPr>
      <w:keepLines/>
      <w:spacing w:before="240" w:after="240" w:line="240" w:lineRule="auto"/>
      <w:jc w:val="center"/>
    </w:pPr>
    <w:rPr>
      <w:b/>
      <w:caps/>
      <w:kern w:val="28"/>
      <w:sz w:val="32"/>
      <w:szCs w:val="20"/>
      <w:lang w:eastAsia="en-US"/>
    </w:rPr>
  </w:style>
  <w:style w:type="paragraph" w:styleId="Podtytu">
    <w:name w:val="Subtitle"/>
    <w:basedOn w:val="Tytu"/>
    <w:qFormat/>
    <w:rsid w:val="0063559B"/>
    <w:pPr>
      <w:spacing w:before="0"/>
    </w:pPr>
    <w:rPr>
      <w:bCs/>
      <w:i/>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berto.DiPasquo@copa-cogec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ana.Neagu@copa-cogeca.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senija.Simovic@copa-cogeca.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8406</Characters>
  <Application>Microsoft Office Word</Application>
  <DocSecurity>0</DocSecurity>
  <Lines>70</Lines>
  <Paragraphs>19</Paragraphs>
  <ScaleCrop>false</ScaleCrop>
  <Company>Copa-Cogeca - European Farmers</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Template press release;
Version 001;
2008-09-09;</dc:description>
  <cp:lastModifiedBy>oem</cp:lastModifiedBy>
  <cp:revision>2</cp:revision>
  <cp:lastPrinted>2008-10-29T09:13:00Z</cp:lastPrinted>
  <dcterms:created xsi:type="dcterms:W3CDTF">2022-05-05T08:27:00Z</dcterms:created>
  <dcterms:modified xsi:type="dcterms:W3CDTF">2022-05-05T08:27:00Z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ThreadMemo">
    <vt:lpwstr>CDP(22)1965:1</vt:lpwstr>
  </property>
</Properties>
</file>