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0C" w:rsidRPr="00E22388" w:rsidRDefault="00B87DDA" w:rsidP="00B87DDA">
      <w:pPr>
        <w:jc w:val="both"/>
        <w:rPr>
          <w:b/>
        </w:rPr>
      </w:pPr>
      <w:r>
        <w:t>06.04.2022 r.</w:t>
      </w:r>
    </w:p>
    <w:p w:rsidR="00B87DDA" w:rsidRPr="00E22388" w:rsidRDefault="003F360C" w:rsidP="00B87DDA">
      <w:pPr>
        <w:pStyle w:val="Headline"/>
        <w:jc w:val="both"/>
        <w:rPr>
          <w:sz w:val="47"/>
          <w:szCs w:val="47"/>
        </w:rPr>
      </w:pPr>
      <w:r>
        <w:rPr>
          <w:sz w:val="47"/>
          <w:szCs w:val="47"/>
        </w:rPr>
        <w:t>Komunikat prasowy</w:t>
      </w:r>
    </w:p>
    <w:p w:rsidR="00B87DDA" w:rsidRPr="00B87DDA" w:rsidRDefault="00B87DDA" w:rsidP="00B87DDA">
      <w:pPr>
        <w:spacing w:after="160" w:line="259" w:lineRule="auto"/>
        <w:jc w:val="both"/>
        <w:rPr>
          <w:b/>
          <w:bCs/>
          <w:kern w:val="0"/>
          <w:sz w:val="28"/>
          <w:szCs w:val="28"/>
          <w:lang w:val="en-GB" w:eastAsia="en-US"/>
        </w:rPr>
      </w:pPr>
    </w:p>
    <w:p w:rsidR="00FE3B0D" w:rsidRDefault="00FE3B0D" w:rsidP="00FE3B0D">
      <w:pPr>
        <w:spacing w:after="160" w:line="254" w:lineRule="auto"/>
        <w:jc w:val="both"/>
        <w:rPr>
          <w:b/>
          <w:bCs/>
          <w:kern w:val="0"/>
          <w:sz w:val="28"/>
          <w:szCs w:val="28"/>
        </w:rPr>
      </w:pPr>
      <w:r>
        <w:rPr>
          <w:b/>
          <w:bCs/>
          <w:sz w:val="28"/>
          <w:szCs w:val="28"/>
        </w:rPr>
        <w:t>Przegląd dyrektywy w sprawie emisji przemysłowych - rodzinne gospodarstwa hodowlane zapłacą wysoką cenę</w:t>
      </w:r>
    </w:p>
    <w:p w:rsidR="006E6241" w:rsidRDefault="006E6241" w:rsidP="006E6241">
      <w:pPr>
        <w:spacing w:after="160" w:line="254" w:lineRule="auto"/>
        <w:jc w:val="both"/>
        <w:rPr>
          <w:b/>
          <w:bCs/>
          <w:kern w:val="0"/>
          <w:szCs w:val="21"/>
        </w:rPr>
      </w:pPr>
      <w:r>
        <w:rPr>
          <w:b/>
          <w:bCs/>
          <w:szCs w:val="21"/>
        </w:rPr>
        <w:t xml:space="preserve">Komisja Europejska opublikowała wczoraj przegląd dyrektywy w sprawie emisji przemysłowych z 2010 r. Mimo że w przeszłości tylko największe gospodarstwa hodowlane w UE były objęte dyrektywą, </w:t>
      </w:r>
      <w:r w:rsidR="002A73EC">
        <w:rPr>
          <w:b/>
          <w:bCs/>
          <w:szCs w:val="21"/>
        </w:rPr>
        <w:t xml:space="preserve">to </w:t>
      </w:r>
      <w:r>
        <w:rPr>
          <w:b/>
          <w:bCs/>
          <w:szCs w:val="21"/>
        </w:rPr>
        <w:t>w najnowszym przeglądzie zaproponowano dziesięciokrotne zwiększenie liczby gospodarstw hodowlanych bydła, trzody chlewnej i drobiu wchodzących w jej zakres, który docelowo ma objąć gospodarstwa rodzinne traktowane teraz jako „instalacje rolno-przemysłowe”. W</w:t>
      </w:r>
      <w:r w:rsidR="002A73EC">
        <w:rPr>
          <w:b/>
          <w:bCs/>
          <w:szCs w:val="21"/>
        </w:rPr>
        <w:t> </w:t>
      </w:r>
      <w:r>
        <w:rPr>
          <w:b/>
          <w:bCs/>
          <w:szCs w:val="21"/>
        </w:rPr>
        <w:t xml:space="preserve">obecnym kształcie przegląd ten zmusiłby tysiące rodzinnych gospodarstw hodowlanych do stosowania kosztownych protokołów emisyjnych opracowanych przede wszystkim dla dużych przedsiębiorstw. Zaledwie kilka dni po publikacji komunikatów instytucji na temat potrzeby zwiększenia strategicznej autonomii żywnościowej w UE, to rachunkowe, ideologiczne i oderwane od realiów panujących w terenie podejście jest ciosem dla europejskich hodowców. </w:t>
      </w:r>
    </w:p>
    <w:p w:rsidR="006E6241" w:rsidRDefault="006E6241" w:rsidP="006E6241">
      <w:pPr>
        <w:spacing w:after="160" w:line="254" w:lineRule="auto"/>
        <w:jc w:val="both"/>
        <w:rPr>
          <w:kern w:val="0"/>
          <w:szCs w:val="21"/>
        </w:rPr>
      </w:pPr>
      <w:r>
        <w:t xml:space="preserve">W ramach przeglądu dyrektywy w sprawie emisji przemysłowych (IED), Komisja Europejska postanowiła rozszerzyć jej zakres na gospodarstwa hodowlane bydła, a także obniżyć progi w sektorach trzody chlewnej i drobiu, które są objęte dyrektywą od 2010 r. Konkretnie, Komisja planuje uwzględnić hodowlę świń, drobiu i bydła powyżej 150 dużych jednostek przeliczeniowych żywego inwentarza. Za tym rachunkowych żargonem kryje się proste przesłanie: wiele gospodarstw rodzinnych zostanie objętych zakresem dyrektywy i zostanie de facto zaklasyfikowanych przez Komisję jako „instalacje rolno-przemysłowe”. Zdaniem Komisji będzie to jedynie „13 proc. największych gospodarstw hodowlanych w UE”. Komisja wyraziła się w sposób bardzo inteligentny, który jednak wprowadza w błąd. Na próg 150 dużych jednostek przeliczeniowych żywego inwentarza można spojrzeć też z innej strony. W Niemczech i Finlandii ponad 90% produkcji brojlerów zostanie uznane za „instalacje rolno-przemysłowe”. Podobnie będzie to wyglądać w przypadku francuskich gospodarstw produkujących wieprzowinę, wołowinę i produkty mleczne. </w:t>
      </w:r>
    </w:p>
    <w:p w:rsidR="006E6241" w:rsidRDefault="006E6241" w:rsidP="006E6241">
      <w:pPr>
        <w:spacing w:after="160" w:line="254" w:lineRule="auto"/>
        <w:jc w:val="both"/>
        <w:rPr>
          <w:kern w:val="0"/>
          <w:szCs w:val="21"/>
        </w:rPr>
      </w:pPr>
      <w:r>
        <w:t xml:space="preserve">Ten arbitralny próg jest oderwany od realiów panujących w terenie. Zastosowanie metody liczbowej jest najbardziej uproszczonym sposobem rozwiązania tej kwestii. Mimo oceny skutków przeprowadzonej przez Komisję próg ten został ustalony w ramach politycznego arbitrażu, co jest niewyważonym i jedynie częściowym podejściem do zrównoważoności. Jeśli celem Komisji jest umyślne zaproponowanie bardzo niskiego progu przed rozpoczęciem wewnątrz instytucyjnych negocjacji, to czy zdaje sobie ona sprawę z tego, jaki sygnał wysyła do tysięcy rolników, którzy dzień po dniu walczą o utrzymanie rentowności swoich gospodarstw i poprawę stosowanych przez nich praktyk? </w:t>
      </w:r>
    </w:p>
    <w:p w:rsidR="006E6241" w:rsidRDefault="006E6241" w:rsidP="006E6241">
      <w:pPr>
        <w:spacing w:after="160" w:line="254" w:lineRule="auto"/>
        <w:jc w:val="both"/>
        <w:rPr>
          <w:i/>
          <w:iCs/>
          <w:kern w:val="0"/>
          <w:szCs w:val="21"/>
        </w:rPr>
      </w:pPr>
      <w:r>
        <w:t xml:space="preserve">W reakcji na tę publikację, Christiane Lambert, przewodnicząca Copa zadeklarowała: </w:t>
      </w:r>
      <w:r>
        <w:rPr>
          <w:i/>
          <w:iCs/>
          <w:szCs w:val="21"/>
        </w:rPr>
        <w:t xml:space="preserve">„Mimo różnych namnażających się kryzysów europejscy hodowcy wkładają wiele wysiłku w poprawę swoich praktyk i robią co mogą, by powiązać produktywność z dbałością o środowisko. Fakt, że Komisja Europejska posługuje się teraz terminem „instalacje rolno-przemysłowe”, gdy mówi o gospodarstwach rodzinnych wskazuje na brak zrozumienia dla tego, na czym naprawdę polega chów zwierząt. Tak znaczne obniżenie progu mocno uderzy w europejski </w:t>
      </w:r>
      <w:r>
        <w:rPr>
          <w:i/>
          <w:iCs/>
          <w:szCs w:val="21"/>
        </w:rPr>
        <w:lastRenderedPageBreak/>
        <w:t xml:space="preserve">model rolnictwa rodzinnego powodując pojawienie się dodatkowych kosztów i wąskich gardeł”.  </w:t>
      </w:r>
    </w:p>
    <w:p w:rsidR="006E6241" w:rsidRDefault="006E6241" w:rsidP="006E6241">
      <w:pPr>
        <w:spacing w:after="160" w:line="254" w:lineRule="auto"/>
        <w:jc w:val="both"/>
        <w:rPr>
          <w:kern w:val="0"/>
          <w:szCs w:val="21"/>
        </w:rPr>
      </w:pPr>
      <w:r>
        <w:t xml:space="preserve">Dyrektywa w sprawie emisji przemysłowych weszła w życie w 2010 r. Z naszych doświadczeń wynika, że jej </w:t>
      </w:r>
      <w:r w:rsidR="002A73EC">
        <w:t>wdrażanie</w:t>
      </w:r>
      <w:r>
        <w:t xml:space="preserve"> rodzi wiele kosztów i obciążeń administracyjnych. Rozszerzenie jej zakresu o gospodarstwa hodowlane przyniesie niemożliwe do zniesienia skutki dla całego sektora, obszarów wiejskich i rodzin rolników. </w:t>
      </w:r>
    </w:p>
    <w:p w:rsidR="006E6241" w:rsidRDefault="006E6241" w:rsidP="006E6241">
      <w:pPr>
        <w:spacing w:after="160" w:line="254" w:lineRule="auto"/>
        <w:jc w:val="both"/>
        <w:rPr>
          <w:kern w:val="0"/>
          <w:szCs w:val="21"/>
        </w:rPr>
      </w:pPr>
      <w:r>
        <w:t xml:space="preserve">Przewodniczący Cogeca, Ramón Armengol zastanawia się: </w:t>
      </w:r>
      <w:r>
        <w:rPr>
          <w:i/>
          <w:iCs/>
          <w:szCs w:val="21"/>
        </w:rPr>
        <w:t xml:space="preserve">„W jaki sposób hodowcy prowadzący gospodarstwa rodzinne poradzą sobie z lawiną nowych wymagań, które Komisja chce narzucić w ramach Europejskiego Zielonego Ładu (mimo że ciągle czekamy na globalną ocenę skutków)? Jak </w:t>
      </w:r>
      <w:r w:rsidR="002A73EC">
        <w:rPr>
          <w:i/>
          <w:iCs/>
          <w:szCs w:val="21"/>
        </w:rPr>
        <w:t>będą one</w:t>
      </w:r>
      <w:r>
        <w:rPr>
          <w:i/>
          <w:iCs/>
          <w:szCs w:val="21"/>
        </w:rPr>
        <w:t xml:space="preserve"> realizowane, biorąc pod uwagę że żaden z naszych międzynarodowych partnerów handlowych nie stosuje się do tak drastycznych środków, a unijni dystrybutorzy prawdopodobnie odmówią podziału kosztów? W propozycji przeglądu Komisja nie odpowiada na ani jedno z tych pytań”.</w:t>
      </w:r>
      <w:r>
        <w:t xml:space="preserve"> </w:t>
      </w:r>
    </w:p>
    <w:p w:rsidR="006E6241" w:rsidRDefault="006E6241" w:rsidP="006E6241">
      <w:pPr>
        <w:spacing w:after="160" w:line="254" w:lineRule="auto"/>
        <w:jc w:val="both"/>
        <w:rPr>
          <w:kern w:val="0"/>
          <w:szCs w:val="21"/>
        </w:rPr>
      </w:pPr>
      <w:r>
        <w:t xml:space="preserve">Copa i Cogeca są zaniepokojone, gdyż Komisja chce w przyszłości regulować zakres i pułapy obowiązujące objęte </w:t>
      </w:r>
      <w:r w:rsidR="002A73EC">
        <w:t xml:space="preserve">dyrektywą </w:t>
      </w:r>
      <w:r>
        <w:t xml:space="preserve">sektory za pomocą aktów delegowanych, przez co sytuacja stanie się jeszcze bardziej mętna i nieprzewidywalna. </w:t>
      </w:r>
    </w:p>
    <w:p w:rsidR="006E6241" w:rsidRDefault="006E6241" w:rsidP="006E6241">
      <w:pPr>
        <w:spacing w:after="160" w:line="254" w:lineRule="auto"/>
        <w:jc w:val="both"/>
        <w:rPr>
          <w:kern w:val="0"/>
          <w:szCs w:val="21"/>
        </w:rPr>
      </w:pPr>
      <w:r>
        <w:t xml:space="preserve">Kończąc, wniosek ten podaje pod wątpliwość spójność podejścia Komisji do unijnego sektora hodowli. </w:t>
      </w:r>
      <w:r w:rsidR="002A73EC">
        <w:t>C</w:t>
      </w:r>
      <w:r>
        <w:t xml:space="preserve">hów zwierząt ma do odegrania ważną rolę w tworzeniu odpornego i niezależnego sektora energii w UE (plan działania REPowerEU), a wniosek ten prawdopodobnie odbije się na działających gospodarstwach i przyszłych projektach.  </w:t>
      </w:r>
    </w:p>
    <w:p w:rsidR="003F360C" w:rsidRPr="002A73EC" w:rsidRDefault="003F360C" w:rsidP="00B87DDA">
      <w:pPr>
        <w:spacing w:after="200"/>
        <w:jc w:val="both"/>
        <w:rPr>
          <w:szCs w:val="21"/>
        </w:rPr>
      </w:pPr>
    </w:p>
    <w:p w:rsidR="00B87DDA" w:rsidRPr="00E22388" w:rsidRDefault="00B87DDA" w:rsidP="00B87DDA">
      <w:pPr>
        <w:spacing w:after="200"/>
        <w:jc w:val="both"/>
        <w:rPr>
          <w:b/>
          <w:szCs w:val="21"/>
        </w:rPr>
      </w:pPr>
      <w:r>
        <w:rPr>
          <w:b/>
          <w:szCs w:val="21"/>
        </w:rPr>
        <w:t>-KONIEC-</w:t>
      </w:r>
    </w:p>
    <w:p w:rsidR="00B87DDA" w:rsidRPr="002A73EC" w:rsidRDefault="00B87DDA" w:rsidP="00B87DDA">
      <w:pPr>
        <w:spacing w:after="200"/>
        <w:jc w:val="both"/>
        <w:rPr>
          <w:b/>
          <w:szCs w:val="21"/>
        </w:rPr>
      </w:pPr>
    </w:p>
    <w:p w:rsidR="00B87DDA" w:rsidRPr="00E22388" w:rsidRDefault="00B87DDA" w:rsidP="00B87DDA">
      <w:pPr>
        <w:spacing w:after="200"/>
        <w:rPr>
          <w:szCs w:val="21"/>
        </w:rPr>
      </w:pPr>
      <w:r>
        <w:t>Tłumaczenie na EN, DE, ES ,FR, IT i RO będzie niedługo dostępne na stronie internetowej Copa-Cogeca.</w:t>
      </w:r>
    </w:p>
    <w:p w:rsidR="00B87DDA" w:rsidRPr="002A73EC" w:rsidRDefault="00B87DDA" w:rsidP="00B87DDA">
      <w:pPr>
        <w:spacing w:after="200"/>
        <w:rPr>
          <w:szCs w:val="21"/>
        </w:rPr>
      </w:pPr>
    </w:p>
    <w:tbl>
      <w:tblPr>
        <w:tblpPr w:leftFromText="142" w:rightFromText="142" w:vertAnchor="text" w:horzAnchor="margin" w:tblpX="1" w:tblpY="1"/>
        <w:tblOverlap w:val="never"/>
        <w:tblW w:w="9645" w:type="dxa"/>
        <w:tblLayout w:type="fixed"/>
        <w:tblCellMar>
          <w:left w:w="0" w:type="dxa"/>
          <w:right w:w="0" w:type="dxa"/>
        </w:tblCellMar>
        <w:tblLook w:val="01E0"/>
      </w:tblPr>
      <w:tblGrid>
        <w:gridCol w:w="4823"/>
        <w:gridCol w:w="4822"/>
      </w:tblGrid>
      <w:tr w:rsidR="003F360C" w:rsidRPr="006E6241" w:rsidTr="00A81C67">
        <w:trPr>
          <w:cantSplit/>
          <w:trHeight w:val="137"/>
        </w:trPr>
        <w:tc>
          <w:tcPr>
            <w:tcW w:w="9645" w:type="dxa"/>
            <w:gridSpan w:val="2"/>
            <w:tcBorders>
              <w:top w:val="single" w:sz="2" w:space="0" w:color="auto"/>
            </w:tcBorders>
            <w:shd w:val="clear" w:color="auto" w:fill="auto"/>
            <w:tcMar>
              <w:top w:w="142" w:type="dxa"/>
              <w:bottom w:w="142" w:type="dxa"/>
            </w:tcMar>
            <w:vAlign w:val="bottom"/>
          </w:tcPr>
          <w:p w:rsidR="003F360C" w:rsidRPr="00E22388" w:rsidRDefault="003F360C" w:rsidP="00B87DDA">
            <w:pPr>
              <w:pStyle w:val="Disclaimer"/>
              <w:framePr w:hSpace="0" w:wrap="auto" w:vAnchor="margin" w:hAnchor="text" w:xAlign="left" w:yAlign="inline"/>
              <w:suppressOverlap w:val="0"/>
              <w:rPr>
                <w:color w:val="auto"/>
                <w:sz w:val="21"/>
                <w:szCs w:val="21"/>
              </w:rPr>
            </w:pPr>
            <w:r>
              <w:rPr>
                <w:color w:val="auto"/>
                <w:sz w:val="21"/>
                <w:szCs w:val="21"/>
              </w:rPr>
              <w:t>Dalszych informacji udziela:</w:t>
            </w:r>
          </w:p>
        </w:tc>
      </w:tr>
      <w:tr w:rsidR="003F360C" w:rsidRPr="002A73EC" w:rsidTr="00A81C67">
        <w:tc>
          <w:tcPr>
            <w:tcW w:w="9645" w:type="dxa"/>
            <w:tcBorders>
              <w:bottom w:val="single" w:sz="2" w:space="0" w:color="auto"/>
            </w:tcBorders>
            <w:shd w:val="clear" w:color="auto" w:fill="auto"/>
            <w:tcMar>
              <w:top w:w="0" w:type="dxa"/>
              <w:bottom w:w="312" w:type="dxa"/>
            </w:tcMar>
            <w:vAlign w:val="bottom"/>
          </w:tcPr>
          <w:p w:rsidR="003F360C" w:rsidRPr="002A73EC" w:rsidRDefault="00B87DDA" w:rsidP="00B87DDA">
            <w:pPr>
              <w:rPr>
                <w:szCs w:val="21"/>
                <w:lang w:val="es-ES"/>
              </w:rPr>
            </w:pPr>
            <w:bookmarkStart w:id="0" w:name="Text8"/>
            <w:r w:rsidRPr="002A73EC">
              <w:rPr>
                <w:b/>
                <w:szCs w:val="21"/>
                <w:lang w:val="es-ES"/>
              </w:rPr>
              <w:t>Irene de Tovar</w:t>
            </w:r>
            <w:r w:rsidRPr="002A73EC">
              <w:rPr>
                <w:b/>
                <w:szCs w:val="21"/>
                <w:lang w:val="es-ES"/>
              </w:rPr>
              <w:br/>
            </w:r>
            <w:bookmarkEnd w:id="0"/>
            <w:r w:rsidRPr="002A73EC">
              <w:rPr>
                <w:lang w:val="es-ES"/>
              </w:rPr>
              <w:t>Doradca ds. polityk</w:t>
            </w:r>
          </w:p>
          <w:p w:rsidR="003F360C" w:rsidRPr="002A73EC" w:rsidRDefault="00585FD3" w:rsidP="00B87DDA">
            <w:pPr>
              <w:pStyle w:val="Disclaimer"/>
              <w:framePr w:hSpace="0" w:wrap="auto" w:vAnchor="margin" w:hAnchor="text" w:xAlign="left" w:yAlign="inline"/>
              <w:suppressOverlap w:val="0"/>
              <w:rPr>
                <w:color w:val="000000"/>
                <w:sz w:val="21"/>
                <w:szCs w:val="21"/>
                <w:lang w:val="es-ES"/>
              </w:rPr>
            </w:pPr>
            <w:hyperlink r:id="rId7" w:history="1">
              <w:r w:rsidR="00750632" w:rsidRPr="002A73EC">
                <w:rPr>
                  <w:rStyle w:val="Hipercze"/>
                  <w:sz w:val="21"/>
                  <w:szCs w:val="21"/>
                  <w:lang w:val="es-ES"/>
                </w:rPr>
                <w:t>Irene.DeTovar@copa-cogeca.eu</w:t>
              </w:r>
            </w:hyperlink>
            <w:r w:rsidR="00750632" w:rsidRPr="002A73EC">
              <w:rPr>
                <w:color w:val="000000"/>
                <w:sz w:val="21"/>
                <w:szCs w:val="21"/>
                <w:lang w:val="es-ES"/>
              </w:rPr>
              <w:t xml:space="preserve"> </w:t>
            </w:r>
          </w:p>
        </w:tc>
        <w:tc>
          <w:tcPr>
            <w:tcW w:w="9645" w:type="dxa"/>
            <w:tcBorders>
              <w:bottom w:val="single" w:sz="2" w:space="0" w:color="auto"/>
            </w:tcBorders>
            <w:shd w:val="clear" w:color="auto" w:fill="auto"/>
            <w:tcMar>
              <w:top w:w="0" w:type="dxa"/>
            </w:tcMar>
            <w:vAlign w:val="bottom"/>
          </w:tcPr>
          <w:p w:rsidR="005213E3" w:rsidRPr="00B87DDA" w:rsidRDefault="005213E3" w:rsidP="00B87DDA">
            <w:pPr>
              <w:pStyle w:val="Disclaimer"/>
              <w:framePr w:hSpace="0" w:wrap="auto" w:vAnchor="margin" w:hAnchor="text" w:xAlign="left" w:yAlign="inline"/>
              <w:suppressOverlap w:val="0"/>
              <w:rPr>
                <w:b/>
                <w:color w:val="auto"/>
                <w:sz w:val="21"/>
                <w:szCs w:val="21"/>
              </w:rPr>
            </w:pPr>
            <w:r>
              <w:rPr>
                <w:b/>
                <w:color w:val="auto"/>
                <w:sz w:val="21"/>
                <w:szCs w:val="21"/>
              </w:rPr>
              <w:t>Jean-Baptiste Boucher</w:t>
            </w:r>
          </w:p>
          <w:p w:rsidR="005213E3" w:rsidRPr="00B87DDA" w:rsidRDefault="005213E3" w:rsidP="00B87DDA">
            <w:pPr>
              <w:pStyle w:val="Disclaimer"/>
              <w:framePr w:hSpace="0" w:wrap="auto" w:vAnchor="margin" w:hAnchor="text" w:xAlign="left" w:yAlign="inline"/>
              <w:suppressOverlap w:val="0"/>
              <w:rPr>
                <w:color w:val="auto"/>
                <w:sz w:val="21"/>
                <w:szCs w:val="21"/>
              </w:rPr>
            </w:pPr>
            <w:r>
              <w:rPr>
                <w:color w:val="auto"/>
                <w:sz w:val="21"/>
                <w:szCs w:val="21"/>
              </w:rPr>
              <w:t>Dyrektor ds. komunikacji</w:t>
            </w:r>
          </w:p>
          <w:p w:rsidR="005213E3" w:rsidRPr="002A73EC" w:rsidRDefault="005213E3" w:rsidP="00B87DDA">
            <w:pPr>
              <w:pStyle w:val="Disclaimer"/>
              <w:framePr w:hSpace="0" w:wrap="auto" w:vAnchor="margin" w:hAnchor="text" w:xAlign="left" w:yAlign="inline"/>
              <w:suppressOverlap w:val="0"/>
              <w:rPr>
                <w:color w:val="auto"/>
                <w:sz w:val="21"/>
                <w:szCs w:val="21"/>
                <w:lang w:val="de-DE"/>
              </w:rPr>
            </w:pPr>
            <w:r w:rsidRPr="002A73EC">
              <w:rPr>
                <w:color w:val="auto"/>
                <w:sz w:val="21"/>
                <w:szCs w:val="21"/>
                <w:lang w:val="de-DE"/>
              </w:rPr>
              <w:t>Tel. kom. + 32 474 840 836</w:t>
            </w:r>
          </w:p>
          <w:p w:rsidR="003F360C" w:rsidRPr="002A73EC" w:rsidRDefault="00585FD3" w:rsidP="00B87DDA">
            <w:pPr>
              <w:pStyle w:val="Disclaimer"/>
              <w:framePr w:hSpace="0" w:wrap="auto" w:vAnchor="margin" w:hAnchor="text" w:xAlign="left" w:yAlign="inline"/>
              <w:suppressOverlap w:val="0"/>
              <w:rPr>
                <w:color w:val="auto"/>
                <w:sz w:val="21"/>
                <w:szCs w:val="21"/>
                <w:lang w:val="de-DE"/>
              </w:rPr>
            </w:pPr>
            <w:hyperlink r:id="rId8" w:history="1">
              <w:r w:rsidR="00750632" w:rsidRPr="002A73EC">
                <w:rPr>
                  <w:rStyle w:val="Hipercze"/>
                  <w:sz w:val="21"/>
                  <w:szCs w:val="21"/>
                  <w:lang w:val="de-DE"/>
                </w:rPr>
                <w:t>jean-baptiste.boucher@copa-cogeca.eu</w:t>
              </w:r>
            </w:hyperlink>
            <w:r w:rsidR="00750632" w:rsidRPr="002A73EC">
              <w:rPr>
                <w:color w:val="auto"/>
                <w:sz w:val="21"/>
                <w:szCs w:val="21"/>
                <w:lang w:val="de-DE"/>
              </w:rPr>
              <w:t xml:space="preserve">   </w:t>
            </w:r>
          </w:p>
        </w:tc>
      </w:tr>
      <w:tr w:rsidR="003F360C" w:rsidRPr="00B87DDA" w:rsidTr="00A81C67">
        <w:tc>
          <w:tcPr>
            <w:tcW w:w="9645" w:type="dxa"/>
            <w:gridSpan w:val="2"/>
            <w:tcBorders>
              <w:top w:val="single" w:sz="2" w:space="0" w:color="auto"/>
              <w:bottom w:val="single" w:sz="2" w:space="0" w:color="auto"/>
            </w:tcBorders>
            <w:shd w:val="clear" w:color="auto" w:fill="auto"/>
            <w:tcMar>
              <w:top w:w="45" w:type="dxa"/>
              <w:bottom w:w="266" w:type="dxa"/>
            </w:tcMar>
          </w:tcPr>
          <w:p w:rsidR="003F360C" w:rsidRPr="00B87DDA" w:rsidRDefault="003F360C" w:rsidP="00B87DDA">
            <w:pPr>
              <w:pStyle w:val="DisclaimerStandard"/>
              <w:framePr w:hSpace="0" w:wrap="auto" w:vAnchor="margin" w:hAnchor="text" w:xAlign="left" w:yAlign="inline"/>
              <w:suppressOverlap w:val="0"/>
              <w:rPr>
                <w:color w:val="auto"/>
                <w:sz w:val="21"/>
                <w:szCs w:val="21"/>
              </w:rPr>
            </w:pPr>
            <w:r w:rsidRPr="002A73EC">
              <w:rPr>
                <w:sz w:val="21"/>
                <w:szCs w:val="21"/>
                <w:lang w:val="de-DE"/>
              </w:rPr>
              <w:t xml:space="preserve"> </w:t>
            </w:r>
            <w:fldSimple w:instr=" DOCPROPERTY  PWThreadMemo  \* MERGEFORMAT ">
              <w:r w:rsidRPr="00B87DDA">
                <w:rPr>
                  <w:b/>
                  <w:sz w:val="21"/>
                  <w:szCs w:val="21"/>
                </w:rPr>
                <w:t>CDP(22)2013:1</w:t>
              </w:r>
            </w:fldSimple>
          </w:p>
        </w:tc>
      </w:tr>
    </w:tbl>
    <w:p w:rsidR="003F360C" w:rsidRPr="00B87DDA" w:rsidRDefault="003F360C" w:rsidP="00B87DDA">
      <w:pPr>
        <w:spacing w:after="200"/>
        <w:jc w:val="both"/>
        <w:rPr>
          <w:szCs w:val="21"/>
        </w:rPr>
      </w:pPr>
    </w:p>
    <w:p w:rsidR="003F360C" w:rsidRPr="00B87DDA" w:rsidRDefault="003F360C" w:rsidP="00B87DDA">
      <w:pPr>
        <w:spacing w:after="200"/>
        <w:jc w:val="both"/>
      </w:pPr>
    </w:p>
    <w:p w:rsidR="003F360C" w:rsidRPr="00B87DDA" w:rsidRDefault="003F360C" w:rsidP="00B87DDA">
      <w:pPr>
        <w:spacing w:after="200"/>
        <w:jc w:val="both"/>
      </w:pPr>
    </w:p>
    <w:p w:rsidR="003F360C" w:rsidRPr="00B87DDA" w:rsidRDefault="003F360C" w:rsidP="00B87DDA">
      <w:pPr>
        <w:spacing w:after="200"/>
        <w:jc w:val="both"/>
      </w:pPr>
    </w:p>
    <w:p w:rsidR="003F360C" w:rsidRPr="00B87DDA" w:rsidRDefault="003F360C" w:rsidP="00B87DDA">
      <w:pPr>
        <w:spacing w:after="200"/>
        <w:jc w:val="both"/>
      </w:pPr>
    </w:p>
    <w:p w:rsidR="003F360C" w:rsidRPr="00B87DDA" w:rsidRDefault="003F360C" w:rsidP="00B87DDA">
      <w:pPr>
        <w:spacing w:after="200"/>
        <w:jc w:val="both"/>
      </w:pPr>
    </w:p>
    <w:p w:rsidR="00E31A99" w:rsidRPr="00B87DDA" w:rsidRDefault="00E31A99" w:rsidP="00B87DDA">
      <w:pPr>
        <w:spacing w:after="200"/>
        <w:jc w:val="both"/>
      </w:pPr>
    </w:p>
    <w:sectPr w:rsidR="00E31A99" w:rsidRPr="00B87DDA" w:rsidSect="00A02C29">
      <w:footerReference w:type="default" r:id="rId9"/>
      <w:headerReference w:type="first" r:id="rId10"/>
      <w:footerReference w:type="first" r:id="rId11"/>
      <w:pgSz w:w="11906" w:h="16838" w:code="9"/>
      <w:pgMar w:top="1021" w:right="1826" w:bottom="1797" w:left="1134" w:header="573" w:footer="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254" w:rsidRDefault="00DC6254">
      <w:r>
        <w:separator/>
      </w:r>
    </w:p>
  </w:endnote>
  <w:endnote w:type="continuationSeparator" w:id="0">
    <w:p w:rsidR="00DC6254" w:rsidRDefault="00DC6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E9" w:rsidRDefault="00585FD3">
    <w:pPr>
      <w:pStyle w:val="Page"/>
      <w:framePr w:wrap="around"/>
    </w:pPr>
    <w:r>
      <w:fldChar w:fldCharType="begin"/>
    </w:r>
    <w:r w:rsidR="00C313F4">
      <w:instrText xml:space="preserve"> PAGE  \* Arabic  \* MERGEFORMAT </w:instrText>
    </w:r>
    <w:r>
      <w:fldChar w:fldCharType="separate"/>
    </w:r>
    <w:r w:rsidR="00F75F99">
      <w:rPr>
        <w:noProof/>
      </w:rPr>
      <w:t>2</w:t>
    </w:r>
    <w:r>
      <w:fldChar w:fldCharType="end"/>
    </w:r>
  </w:p>
  <w:p w:rsidR="00C976E9" w:rsidRDefault="00C976E9">
    <w:pPr>
      <w:pStyle w:val="NumPage"/>
      <w:framePr w:wrap="around"/>
    </w:pPr>
    <w:r>
      <w:t xml:space="preserve">| </w:t>
    </w:r>
    <w:fldSimple w:instr=" NUMPAGES  \* Arabic  \* MERGEFORMAT ">
      <w:r w:rsidR="00F75F99">
        <w:rPr>
          <w:noProof/>
        </w:rPr>
        <w:t>2</w:t>
      </w:r>
    </w:fldSimple>
  </w:p>
  <w:p w:rsidR="00C976E9" w:rsidRDefault="00C976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769" w:type="dxa"/>
      <w:tblLayout w:type="fixed"/>
      <w:tblCellMar>
        <w:left w:w="0" w:type="dxa"/>
        <w:right w:w="0" w:type="dxa"/>
      </w:tblCellMar>
      <w:tblLook w:val="01E0"/>
    </w:tblPr>
    <w:tblGrid>
      <w:gridCol w:w="7769"/>
    </w:tblGrid>
    <w:tr w:rsidR="003F360C" w:rsidTr="00A81C67">
      <w:tc>
        <w:tcPr>
          <w:tcW w:w="7769" w:type="dxa"/>
          <w:shd w:val="clear" w:color="auto" w:fill="auto"/>
        </w:tcPr>
        <w:p w:rsidR="003F360C" w:rsidRPr="00C17CB7" w:rsidRDefault="003F360C" w:rsidP="00A81C67">
          <w:pPr>
            <w:pStyle w:val="Stopka"/>
            <w:rPr>
              <w:color w:val="auto"/>
            </w:rPr>
          </w:pPr>
          <w:r>
            <w:rPr>
              <w:b/>
              <w:color w:val="auto"/>
            </w:rPr>
            <w:t>Copa - Cogeca |</w:t>
          </w:r>
          <w:r>
            <w:rPr>
              <w:color w:val="auto"/>
            </w:rPr>
            <w:t xml:space="preserve"> Europejscy Rolnicy Europejskie Spółdzielnie Rolnicze</w:t>
          </w:r>
        </w:p>
        <w:p w:rsidR="003F360C" w:rsidRPr="002A73EC" w:rsidRDefault="003F360C" w:rsidP="00A81C67">
          <w:pPr>
            <w:pStyle w:val="Stopka"/>
            <w:rPr>
              <w:color w:val="auto"/>
              <w:lang w:val="fr-BE"/>
            </w:rPr>
          </w:pPr>
          <w:r w:rsidRPr="002A73EC">
            <w:rPr>
              <w:color w:val="auto"/>
              <w:lang w:val="fr-BE"/>
            </w:rPr>
            <w:t xml:space="preserve">61, Rue de Trèves | B - 1040 Bruksela | www.copa-cogeca.eu </w:t>
          </w:r>
        </w:p>
        <w:p w:rsidR="003F360C" w:rsidRPr="00C17CB7" w:rsidRDefault="009265DD" w:rsidP="00A81C67">
          <w:pPr>
            <w:pStyle w:val="Stopka"/>
          </w:pPr>
          <w:r>
            <w:rPr>
              <w:color w:val="auto"/>
            </w:rPr>
            <w:t>Numer rejestru służącego przejrzystości UE | Copa 44856881231-49  | Cogeca 09586631237-74</w:t>
          </w:r>
        </w:p>
      </w:tc>
    </w:tr>
  </w:tbl>
  <w:p w:rsidR="003F360C" w:rsidRDefault="003F360C" w:rsidP="003F360C">
    <w:pPr>
      <w:pStyle w:val="Stopka"/>
    </w:pPr>
  </w:p>
  <w:p w:rsidR="00C976E9" w:rsidRPr="003F360C" w:rsidRDefault="00C976E9" w:rsidP="003F36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254" w:rsidRDefault="00DC6254">
      <w:r>
        <w:separator/>
      </w:r>
    </w:p>
  </w:footnote>
  <w:footnote w:type="continuationSeparator" w:id="0">
    <w:p w:rsidR="00DC6254" w:rsidRDefault="00DC6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5" w:type="dxa"/>
      <w:tblLayout w:type="fixed"/>
      <w:tblCellMar>
        <w:left w:w="0" w:type="dxa"/>
        <w:right w:w="0" w:type="dxa"/>
      </w:tblCellMar>
      <w:tblLook w:val="01E0"/>
    </w:tblPr>
    <w:tblGrid>
      <w:gridCol w:w="5940"/>
      <w:gridCol w:w="3775"/>
    </w:tblGrid>
    <w:tr w:rsidR="00C976E9" w:rsidTr="00C24A03">
      <w:trPr>
        <w:trHeight w:val="1076"/>
      </w:trPr>
      <w:tc>
        <w:tcPr>
          <w:tcW w:w="5940" w:type="dxa"/>
          <w:shd w:val="clear" w:color="auto" w:fill="auto"/>
        </w:tcPr>
        <w:p w:rsidR="00C976E9" w:rsidRDefault="00C976E9">
          <w:pPr>
            <w:pStyle w:val="Nagwek"/>
          </w:pPr>
        </w:p>
      </w:tc>
      <w:tc>
        <w:tcPr>
          <w:tcW w:w="3775" w:type="dxa"/>
          <w:shd w:val="clear" w:color="auto" w:fill="auto"/>
        </w:tcPr>
        <w:p w:rsidR="00C976E9" w:rsidRDefault="00F75F99" w:rsidP="00C24A03">
          <w:pPr>
            <w:pStyle w:val="Nagwek"/>
            <w:jc w:val="right"/>
          </w:pPr>
          <w:r>
            <w:rPr>
              <w:noProof/>
              <w:lang w:eastAsia="pl-PL"/>
            </w:rPr>
            <w:drawing>
              <wp:inline distT="0" distB="0" distL="0" distR="0">
                <wp:extent cx="2362200" cy="590550"/>
                <wp:effectExtent l="19050" t="0" r="0" b="0"/>
                <wp:docPr id="1" name="Obraz 1" descr="CopaCogeca_4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Cogeca_4C_C"/>
                        <pic:cNvPicPr>
                          <a:picLocks noChangeAspect="1" noChangeArrowheads="1"/>
                        </pic:cNvPicPr>
                      </pic:nvPicPr>
                      <pic:blipFill>
                        <a:blip r:embed="rId1"/>
                        <a:srcRect/>
                        <a:stretch>
                          <a:fillRect/>
                        </a:stretch>
                      </pic:blipFill>
                      <pic:spPr bwMode="auto">
                        <a:xfrm>
                          <a:off x="0" y="0"/>
                          <a:ext cx="2362200" cy="590550"/>
                        </a:xfrm>
                        <a:prstGeom prst="rect">
                          <a:avLst/>
                        </a:prstGeom>
                        <a:noFill/>
                        <a:ln w="9525">
                          <a:noFill/>
                          <a:miter lim="800000"/>
                          <a:headEnd/>
                          <a:tailEnd/>
                        </a:ln>
                      </pic:spPr>
                    </pic:pic>
                  </a:graphicData>
                </a:graphic>
              </wp:inline>
            </w:drawing>
          </w:r>
        </w:p>
      </w:tc>
    </w:tr>
  </w:tbl>
  <w:p w:rsidR="00C976E9" w:rsidRDefault="00C976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850DB82"/>
    <w:lvl w:ilvl="0">
      <w:start w:val="1"/>
      <w:numFmt w:val="bullet"/>
      <w:lvlText w:val=""/>
      <w:lvlJc w:val="left"/>
      <w:pPr>
        <w:tabs>
          <w:tab w:val="num" w:pos="1209"/>
        </w:tabs>
        <w:ind w:left="1209"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80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63545E"/>
    <w:rsid w:val="00010F0A"/>
    <w:rsid w:val="00072FB3"/>
    <w:rsid w:val="000F7C1E"/>
    <w:rsid w:val="001632A0"/>
    <w:rsid w:val="00174B3E"/>
    <w:rsid w:val="001A66B2"/>
    <w:rsid w:val="001A6F72"/>
    <w:rsid w:val="001E4DD1"/>
    <w:rsid w:val="001F7058"/>
    <w:rsid w:val="00202DAB"/>
    <w:rsid w:val="00206B10"/>
    <w:rsid w:val="00226F18"/>
    <w:rsid w:val="002435CE"/>
    <w:rsid w:val="00290EC0"/>
    <w:rsid w:val="002A73EC"/>
    <w:rsid w:val="002C2DEF"/>
    <w:rsid w:val="002F1964"/>
    <w:rsid w:val="002F328E"/>
    <w:rsid w:val="002F4F9A"/>
    <w:rsid w:val="00380592"/>
    <w:rsid w:val="0038455A"/>
    <w:rsid w:val="003F360C"/>
    <w:rsid w:val="004363B9"/>
    <w:rsid w:val="00463591"/>
    <w:rsid w:val="004F377E"/>
    <w:rsid w:val="004F478B"/>
    <w:rsid w:val="00514FA6"/>
    <w:rsid w:val="005213E3"/>
    <w:rsid w:val="00585FD3"/>
    <w:rsid w:val="005F25BD"/>
    <w:rsid w:val="00600232"/>
    <w:rsid w:val="0063545E"/>
    <w:rsid w:val="0063559B"/>
    <w:rsid w:val="00650B07"/>
    <w:rsid w:val="006E6241"/>
    <w:rsid w:val="006E7B90"/>
    <w:rsid w:val="0071182F"/>
    <w:rsid w:val="0071333D"/>
    <w:rsid w:val="00750632"/>
    <w:rsid w:val="0076642D"/>
    <w:rsid w:val="00767CE9"/>
    <w:rsid w:val="0078746D"/>
    <w:rsid w:val="007F5534"/>
    <w:rsid w:val="008469FF"/>
    <w:rsid w:val="008D11C0"/>
    <w:rsid w:val="008E5415"/>
    <w:rsid w:val="009251D8"/>
    <w:rsid w:val="009265DD"/>
    <w:rsid w:val="009727D5"/>
    <w:rsid w:val="00974A72"/>
    <w:rsid w:val="009876B8"/>
    <w:rsid w:val="009A2C6A"/>
    <w:rsid w:val="00A02C29"/>
    <w:rsid w:val="00A230C5"/>
    <w:rsid w:val="00A3711E"/>
    <w:rsid w:val="00AC1890"/>
    <w:rsid w:val="00AE52B7"/>
    <w:rsid w:val="00B10973"/>
    <w:rsid w:val="00B13190"/>
    <w:rsid w:val="00B17375"/>
    <w:rsid w:val="00B87DDA"/>
    <w:rsid w:val="00BC2B93"/>
    <w:rsid w:val="00BD0CB8"/>
    <w:rsid w:val="00BD73D2"/>
    <w:rsid w:val="00C040B6"/>
    <w:rsid w:val="00C12BDD"/>
    <w:rsid w:val="00C24A03"/>
    <w:rsid w:val="00C266D7"/>
    <w:rsid w:val="00C313F4"/>
    <w:rsid w:val="00C669D1"/>
    <w:rsid w:val="00C96A22"/>
    <w:rsid w:val="00C976E9"/>
    <w:rsid w:val="00D239C1"/>
    <w:rsid w:val="00D759CD"/>
    <w:rsid w:val="00DA11FD"/>
    <w:rsid w:val="00DB2970"/>
    <w:rsid w:val="00DC6254"/>
    <w:rsid w:val="00DD2AD3"/>
    <w:rsid w:val="00E22388"/>
    <w:rsid w:val="00E31A99"/>
    <w:rsid w:val="00E70B43"/>
    <w:rsid w:val="00EC0B35"/>
    <w:rsid w:val="00EF0D52"/>
    <w:rsid w:val="00EF552A"/>
    <w:rsid w:val="00F17DE6"/>
    <w:rsid w:val="00F32FD5"/>
    <w:rsid w:val="00F75F99"/>
    <w:rsid w:val="00F962E0"/>
    <w:rsid w:val="00FA38E0"/>
    <w:rsid w:val="00FC3AA1"/>
    <w:rsid w:val="00FE3B0D"/>
    <w:rsid w:val="00FF5A56"/>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E70B43"/>
    <w:pPr>
      <w:spacing w:line="260" w:lineRule="atLeast"/>
    </w:pPr>
    <w:rPr>
      <w:rFonts w:ascii="Georgia" w:hAnsi="Georgia"/>
      <w:kern w:val="4"/>
      <w:sz w:val="21"/>
      <w:szCs w:val="24"/>
      <w:lang w:eastAsia="de-DE"/>
    </w:rPr>
  </w:style>
  <w:style w:type="paragraph" w:styleId="Nagwek1">
    <w:name w:val="heading 1"/>
    <w:basedOn w:val="Normalny"/>
    <w:next w:val="Normalny"/>
    <w:qFormat/>
    <w:rsid w:val="0063559B"/>
    <w:pPr>
      <w:keepNext/>
      <w:keepLines/>
      <w:spacing w:before="240" w:after="240" w:line="240" w:lineRule="auto"/>
      <w:jc w:val="both"/>
      <w:outlineLvl w:val="0"/>
    </w:pPr>
    <w:rPr>
      <w:b/>
      <w:caps/>
      <w:kern w:val="28"/>
      <w:sz w:val="24"/>
      <w:szCs w:val="20"/>
      <w:lang w:eastAsia="en-US"/>
    </w:rPr>
  </w:style>
  <w:style w:type="paragraph" w:styleId="Nagwek2">
    <w:name w:val="heading 2"/>
    <w:basedOn w:val="Nagwek1"/>
    <w:next w:val="Normalny"/>
    <w:qFormat/>
    <w:rsid w:val="0063559B"/>
    <w:pPr>
      <w:ind w:left="720" w:hanging="720"/>
      <w:outlineLvl w:val="1"/>
    </w:pPr>
    <w:rPr>
      <w:i/>
      <w:caps w:val="0"/>
    </w:rPr>
  </w:style>
  <w:style w:type="paragraph" w:styleId="Nagwek3">
    <w:name w:val="heading 3"/>
    <w:basedOn w:val="Nagwek2"/>
    <w:next w:val="Normalny"/>
    <w:qFormat/>
    <w:rsid w:val="0063559B"/>
    <w:pPr>
      <w:ind w:left="1440"/>
      <w:outlineLvl w:val="2"/>
    </w:pPr>
    <w:rPr>
      <w:i w:val="0"/>
      <w:sz w:val="21"/>
    </w:rPr>
  </w:style>
  <w:style w:type="paragraph" w:styleId="Nagwek4">
    <w:name w:val="heading 4"/>
    <w:basedOn w:val="Nagwek3"/>
    <w:next w:val="Normalny"/>
    <w:qFormat/>
    <w:rsid w:val="0071182F"/>
    <w:pPr>
      <w:outlineLvl w:val="3"/>
    </w:pPr>
  </w:style>
  <w:style w:type="paragraph" w:styleId="Nagwek5">
    <w:name w:val="heading 5"/>
    <w:basedOn w:val="Nagwek4"/>
    <w:next w:val="Nagwek4"/>
    <w:qFormat/>
    <w:rsid w:val="0071182F"/>
    <w:pPr>
      <w:outlineLvl w:val="4"/>
    </w:pPr>
  </w:style>
  <w:style w:type="paragraph" w:styleId="Nagwek6">
    <w:name w:val="heading 6"/>
    <w:basedOn w:val="Nagwek5"/>
    <w:next w:val="Normalny"/>
    <w:qFormat/>
    <w:rsid w:val="0071182F"/>
    <w:pPr>
      <w:outlineLvl w:val="5"/>
    </w:pPr>
  </w:style>
  <w:style w:type="paragraph" w:styleId="Nagwek7">
    <w:name w:val="heading 7"/>
    <w:basedOn w:val="Nagwek6"/>
    <w:next w:val="Normalny"/>
    <w:qFormat/>
    <w:rsid w:val="0071182F"/>
    <w:pPr>
      <w:outlineLvl w:val="6"/>
    </w:pPr>
  </w:style>
  <w:style w:type="paragraph" w:styleId="Nagwek8">
    <w:name w:val="heading 8"/>
    <w:basedOn w:val="Nagwek7"/>
    <w:next w:val="Normalny"/>
    <w:qFormat/>
    <w:rsid w:val="0071182F"/>
    <w:pPr>
      <w:outlineLvl w:val="7"/>
    </w:pPr>
  </w:style>
  <w:style w:type="paragraph" w:styleId="Nagwek9">
    <w:name w:val="heading 9"/>
    <w:basedOn w:val="Nagwek8"/>
    <w:next w:val="Normalny"/>
    <w:qFormat/>
    <w:rsid w:val="0071182F"/>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3545E"/>
    <w:pPr>
      <w:tabs>
        <w:tab w:val="center" w:pos="4536"/>
        <w:tab w:val="right" w:pos="9072"/>
      </w:tabs>
    </w:pPr>
  </w:style>
  <w:style w:type="paragraph" w:styleId="Stopka">
    <w:name w:val="footer"/>
    <w:basedOn w:val="Normalny"/>
    <w:rsid w:val="0063545E"/>
    <w:pPr>
      <w:tabs>
        <w:tab w:val="center" w:pos="4536"/>
        <w:tab w:val="right" w:pos="9072"/>
      </w:tabs>
      <w:spacing w:line="240" w:lineRule="atLeast"/>
    </w:pPr>
    <w:rPr>
      <w:rFonts w:ascii="Tahoma" w:hAnsi="Tahoma"/>
      <w:noProof/>
      <w:color w:val="808080"/>
      <w:sz w:val="16"/>
    </w:rPr>
  </w:style>
  <w:style w:type="table" w:styleId="Tabela-Siatka">
    <w:name w:val="Table Grid"/>
    <w:basedOn w:val="Standardowy"/>
    <w:rsid w:val="0063545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ina">
    <w:name w:val="Pagina"/>
    <w:basedOn w:val="Normalny"/>
    <w:rsid w:val="0063545E"/>
    <w:pPr>
      <w:framePr w:w="709" w:h="312" w:hRule="exact" w:hSpace="181" w:wrap="around" w:vAnchor="page" w:hAnchor="page" w:x="10689" w:y="15401" w:anchorLock="1"/>
    </w:pPr>
  </w:style>
  <w:style w:type="paragraph" w:customStyle="1" w:styleId="Page">
    <w:name w:val="Page"/>
    <w:basedOn w:val="Pagina"/>
    <w:rsid w:val="0063545E"/>
    <w:pPr>
      <w:framePr w:wrap="around" w:x="10060"/>
      <w:jc w:val="right"/>
    </w:pPr>
  </w:style>
  <w:style w:type="paragraph" w:customStyle="1" w:styleId="NumPage">
    <w:name w:val="NumPage"/>
    <w:basedOn w:val="Pagina"/>
    <w:rsid w:val="0063545E"/>
    <w:pPr>
      <w:framePr w:wrap="around" w:x="10819"/>
    </w:pPr>
  </w:style>
  <w:style w:type="paragraph" w:customStyle="1" w:styleId="white">
    <w:name w:val="white"/>
    <w:basedOn w:val="Normalny"/>
    <w:rsid w:val="0063545E"/>
    <w:pPr>
      <w:spacing w:line="240" w:lineRule="auto"/>
    </w:pPr>
    <w:rPr>
      <w:color w:val="FFFFFF"/>
      <w:sz w:val="2"/>
      <w:szCs w:val="2"/>
    </w:rPr>
  </w:style>
  <w:style w:type="paragraph" w:styleId="Data">
    <w:name w:val="Date"/>
    <w:basedOn w:val="Normalny"/>
    <w:next w:val="Headline"/>
    <w:link w:val="DataZnak"/>
    <w:rsid w:val="0063545E"/>
    <w:pPr>
      <w:spacing w:line="600" w:lineRule="atLeast"/>
    </w:pPr>
    <w:rPr>
      <w:b/>
      <w:sz w:val="52"/>
    </w:rPr>
  </w:style>
  <w:style w:type="character" w:customStyle="1" w:styleId="DataZnak">
    <w:name w:val="Data Znak"/>
    <w:link w:val="Data"/>
    <w:rsid w:val="0063545E"/>
    <w:rPr>
      <w:rFonts w:ascii="Georgia" w:hAnsi="Georgia"/>
      <w:b/>
      <w:kern w:val="4"/>
      <w:sz w:val="52"/>
      <w:szCs w:val="24"/>
      <w:lang w:eastAsia="de-DE" w:bidi="ar-SA"/>
    </w:rPr>
  </w:style>
  <w:style w:type="paragraph" w:customStyle="1" w:styleId="Headline">
    <w:name w:val="Headline"/>
    <w:basedOn w:val="Normalny"/>
    <w:next w:val="Subheadline"/>
    <w:rsid w:val="0063545E"/>
    <w:pPr>
      <w:spacing w:before="280" w:line="600" w:lineRule="atLeast"/>
    </w:pPr>
    <w:rPr>
      <w:b/>
      <w:sz w:val="52"/>
    </w:rPr>
  </w:style>
  <w:style w:type="paragraph" w:customStyle="1" w:styleId="Subheadline">
    <w:name w:val="Subheadline"/>
    <w:basedOn w:val="Headline"/>
    <w:next w:val="Normalny"/>
    <w:rsid w:val="0063545E"/>
    <w:pPr>
      <w:spacing w:before="189" w:after="246" w:line="360" w:lineRule="atLeast"/>
    </w:pPr>
    <w:rPr>
      <w:sz w:val="24"/>
    </w:rPr>
  </w:style>
  <w:style w:type="paragraph" w:customStyle="1" w:styleId="Disclaimer">
    <w:name w:val="Disclaimer"/>
    <w:basedOn w:val="Normalny"/>
    <w:rsid w:val="0063545E"/>
    <w:pPr>
      <w:framePr w:hSpace="142" w:wrap="around" w:vAnchor="page" w:hAnchor="margin" w:xAlign="right" w:y="11341"/>
      <w:spacing w:line="180" w:lineRule="atLeast"/>
      <w:suppressOverlap/>
    </w:pPr>
    <w:rPr>
      <w:color w:val="808080"/>
      <w:sz w:val="14"/>
      <w:szCs w:val="14"/>
    </w:rPr>
  </w:style>
  <w:style w:type="paragraph" w:customStyle="1" w:styleId="DisclaimerStandard">
    <w:name w:val="Disclaimer_Standard"/>
    <w:basedOn w:val="Disclaimer"/>
    <w:rsid w:val="0063545E"/>
    <w:pPr>
      <w:framePr w:wrap="around"/>
      <w:spacing w:line="260" w:lineRule="atLeast"/>
    </w:pPr>
    <w:rPr>
      <w:sz w:val="19"/>
    </w:rPr>
  </w:style>
  <w:style w:type="paragraph" w:styleId="Tekstdymka">
    <w:name w:val="Balloon Text"/>
    <w:basedOn w:val="Normalny"/>
    <w:rsid w:val="0063545E"/>
    <w:rPr>
      <w:rFonts w:ascii="Tahoma" w:hAnsi="Tahoma" w:cs="Tahoma"/>
      <w:sz w:val="16"/>
      <w:szCs w:val="16"/>
    </w:rPr>
  </w:style>
  <w:style w:type="paragraph" w:customStyle="1" w:styleId="CarChar">
    <w:name w:val="Car Char"/>
    <w:basedOn w:val="Normalny"/>
    <w:rsid w:val="0063545E"/>
    <w:pPr>
      <w:spacing w:after="160" w:line="240" w:lineRule="exact"/>
    </w:pPr>
    <w:rPr>
      <w:rFonts w:ascii="Tahoma" w:hAnsi="Tahoma"/>
      <w:kern w:val="0"/>
      <w:sz w:val="20"/>
      <w:szCs w:val="20"/>
      <w:lang w:eastAsia="en-US"/>
    </w:rPr>
  </w:style>
  <w:style w:type="character" w:styleId="Hipercze">
    <w:name w:val="Hyperlink"/>
    <w:rsid w:val="002F1964"/>
    <w:rPr>
      <w:color w:val="0000FF"/>
      <w:u w:val="single"/>
    </w:rPr>
  </w:style>
  <w:style w:type="paragraph" w:customStyle="1" w:styleId="Address">
    <w:name w:val="Address"/>
    <w:basedOn w:val="Normalny"/>
    <w:rsid w:val="00B10973"/>
    <w:pPr>
      <w:keepLines/>
      <w:spacing w:after="120" w:line="240" w:lineRule="auto"/>
      <w:ind w:left="5954"/>
      <w:jc w:val="both"/>
    </w:pPr>
    <w:rPr>
      <w:kern w:val="22"/>
      <w:szCs w:val="20"/>
      <w:lang w:eastAsia="en-US"/>
    </w:rPr>
  </w:style>
  <w:style w:type="paragraph" w:customStyle="1" w:styleId="DocumentID">
    <w:name w:val="Document ID"/>
    <w:basedOn w:val="Normalny"/>
    <w:rsid w:val="0071182F"/>
    <w:pPr>
      <w:keepLines/>
      <w:tabs>
        <w:tab w:val="left" w:pos="5103"/>
      </w:tabs>
      <w:spacing w:after="120" w:line="240" w:lineRule="auto"/>
      <w:jc w:val="both"/>
    </w:pPr>
    <w:rPr>
      <w:kern w:val="28"/>
      <w:sz w:val="22"/>
      <w:szCs w:val="20"/>
      <w:lang w:eastAsia="en-US"/>
    </w:rPr>
  </w:style>
  <w:style w:type="paragraph" w:customStyle="1" w:styleId="DoubleSignature">
    <w:name w:val="DoubleSignature"/>
    <w:basedOn w:val="Address"/>
    <w:rsid w:val="0071182F"/>
    <w:pPr>
      <w:tabs>
        <w:tab w:val="left" w:pos="5103"/>
      </w:tabs>
      <w:ind w:left="0"/>
    </w:pPr>
  </w:style>
  <w:style w:type="paragraph" w:customStyle="1" w:styleId="FaxHeader">
    <w:name w:val="Fax Header"/>
    <w:basedOn w:val="Normalny"/>
    <w:next w:val="Normalny"/>
    <w:rsid w:val="0071182F"/>
    <w:pPr>
      <w:keepLines/>
      <w:spacing w:before="120" w:after="120" w:line="240" w:lineRule="auto"/>
      <w:jc w:val="both"/>
    </w:pPr>
    <w:rPr>
      <w:kern w:val="28"/>
      <w:szCs w:val="20"/>
      <w:lang w:eastAsia="en-US"/>
    </w:rPr>
  </w:style>
  <w:style w:type="paragraph" w:customStyle="1" w:styleId="Subject">
    <w:name w:val="Subject"/>
    <w:basedOn w:val="Normalny"/>
    <w:rsid w:val="0071182F"/>
    <w:rPr>
      <w:b/>
    </w:rPr>
  </w:style>
  <w:style w:type="paragraph" w:styleId="Tytu">
    <w:name w:val="Title"/>
    <w:basedOn w:val="Normalny"/>
    <w:qFormat/>
    <w:rsid w:val="0063559B"/>
    <w:pPr>
      <w:keepLines/>
      <w:spacing w:before="240" w:after="240" w:line="240" w:lineRule="auto"/>
      <w:jc w:val="center"/>
    </w:pPr>
    <w:rPr>
      <w:b/>
      <w:caps/>
      <w:kern w:val="28"/>
      <w:sz w:val="32"/>
      <w:szCs w:val="20"/>
      <w:lang w:eastAsia="en-US"/>
    </w:rPr>
  </w:style>
  <w:style w:type="paragraph" w:styleId="Podtytu">
    <w:name w:val="Subtitle"/>
    <w:basedOn w:val="Tytu"/>
    <w:qFormat/>
    <w:rsid w:val="0063559B"/>
    <w:pPr>
      <w:spacing w:before="0"/>
    </w:pPr>
    <w:rPr>
      <w:bCs/>
      <w:i/>
      <w:sz w:val="28"/>
    </w:rPr>
  </w:style>
</w:styles>
</file>

<file path=word/webSettings.xml><?xml version="1.0" encoding="utf-8"?>
<w:webSettings xmlns:r="http://schemas.openxmlformats.org/officeDocument/2006/relationships" xmlns:w="http://schemas.openxmlformats.org/wordprocessingml/2006/main">
  <w:divs>
    <w:div w:id="157698246">
      <w:bodyDiv w:val="1"/>
      <w:marLeft w:val="0"/>
      <w:marRight w:val="0"/>
      <w:marTop w:val="0"/>
      <w:marBottom w:val="0"/>
      <w:divBdr>
        <w:top w:val="none" w:sz="0" w:space="0" w:color="auto"/>
        <w:left w:val="none" w:sz="0" w:space="0" w:color="auto"/>
        <w:bottom w:val="none" w:sz="0" w:space="0" w:color="auto"/>
        <w:right w:val="none" w:sz="0" w:space="0" w:color="auto"/>
      </w:divBdr>
    </w:div>
    <w:div w:id="1529873502">
      <w:bodyDiv w:val="1"/>
      <w:marLeft w:val="0"/>
      <w:marRight w:val="0"/>
      <w:marTop w:val="0"/>
      <w:marBottom w:val="0"/>
      <w:divBdr>
        <w:top w:val="none" w:sz="0" w:space="0" w:color="auto"/>
        <w:left w:val="none" w:sz="0" w:space="0" w:color="auto"/>
        <w:bottom w:val="none" w:sz="0" w:space="0" w:color="auto"/>
        <w:right w:val="none" w:sz="0" w:space="0" w:color="auto"/>
      </w:divBdr>
    </w:div>
    <w:div w:id="1587768756">
      <w:bodyDiv w:val="1"/>
      <w:marLeft w:val="0"/>
      <w:marRight w:val="0"/>
      <w:marTop w:val="0"/>
      <w:marBottom w:val="0"/>
      <w:divBdr>
        <w:top w:val="none" w:sz="0" w:space="0" w:color="auto"/>
        <w:left w:val="none" w:sz="0" w:space="0" w:color="auto"/>
        <w:bottom w:val="none" w:sz="0" w:space="0" w:color="auto"/>
        <w:right w:val="none" w:sz="0" w:space="0" w:color="auto"/>
      </w:divBdr>
    </w:div>
    <w:div w:id="1793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Baptiste.Boucher@copa-cogec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ene.DeTovar@copa-cogec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4551</Characters>
  <Application>Microsoft Office Word</Application>
  <DocSecurity>0</DocSecurity>
  <Lines>37</Lines>
  <Paragraphs>10</Paragraphs>
  <ScaleCrop>false</ScaleCrop>
  <Company>Copa-Cogeca - European Farmers</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Template press release;
Version 001;
2008-09-09;</dc:description>
  <cp:lastModifiedBy>oem</cp:lastModifiedBy>
  <cp:revision>2</cp:revision>
  <cp:lastPrinted>2022-04-06T13:28:00Z</cp:lastPrinted>
  <dcterms:created xsi:type="dcterms:W3CDTF">2022-05-05T08:40:00Z</dcterms:created>
  <dcterms:modified xsi:type="dcterms:W3CDTF">2022-05-05T08:40:00Z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ThreadMemo">
    <vt:lpwstr>CDP(22)2013:1</vt:lpwstr>
  </property>
</Properties>
</file>